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DF9A7" w14:textId="77777777" w:rsidR="00F1748D" w:rsidRPr="00F1748D" w:rsidRDefault="00F1748D" w:rsidP="00F1748D">
      <w:pPr>
        <w:spacing w:after="0" w:line="360" w:lineRule="auto"/>
        <w:jc w:val="center"/>
        <w:rPr>
          <w:rFonts w:ascii="Times New Roman" w:hAnsi="Times New Roman" w:cs="Times New Roman"/>
          <w:b/>
          <w:sz w:val="24"/>
          <w:szCs w:val="24"/>
        </w:rPr>
      </w:pPr>
      <w:r w:rsidRPr="00F1748D">
        <w:rPr>
          <w:rFonts w:ascii="Times New Roman" w:hAnsi="Times New Roman" w:cs="Times New Roman"/>
          <w:b/>
          <w:sz w:val="24"/>
          <w:szCs w:val="24"/>
        </w:rPr>
        <w:t>UNITED STATES DISTRICT COURT</w:t>
      </w:r>
    </w:p>
    <w:p w14:paraId="3D2F2AE0" w14:textId="77777777" w:rsidR="00F1748D" w:rsidRDefault="00F1748D" w:rsidP="00F1748D">
      <w:pPr>
        <w:spacing w:after="0" w:line="360" w:lineRule="auto"/>
        <w:jc w:val="center"/>
        <w:rPr>
          <w:rFonts w:ascii="Times New Roman" w:hAnsi="Times New Roman" w:cs="Times New Roman"/>
          <w:b/>
          <w:sz w:val="24"/>
          <w:szCs w:val="24"/>
        </w:rPr>
      </w:pPr>
      <w:r w:rsidRPr="00F1748D">
        <w:rPr>
          <w:rFonts w:ascii="Times New Roman" w:hAnsi="Times New Roman" w:cs="Times New Roman"/>
          <w:b/>
          <w:sz w:val="24"/>
          <w:szCs w:val="24"/>
        </w:rPr>
        <w:t>COURT OF MOOT</w:t>
      </w:r>
    </w:p>
    <w:p w14:paraId="558C977C" w14:textId="77777777" w:rsidR="00F1748D" w:rsidRDefault="00F1748D" w:rsidP="00F1748D">
      <w:pPr>
        <w:spacing w:after="0" w:line="360" w:lineRule="auto"/>
        <w:rPr>
          <w:rFonts w:ascii="Times New Roman" w:hAnsi="Times New Roman" w:cs="Times New Roman"/>
          <w:sz w:val="24"/>
          <w:szCs w:val="24"/>
        </w:rPr>
      </w:pPr>
      <w:r>
        <w:rPr>
          <w:rFonts w:ascii="Times New Roman" w:hAnsi="Times New Roman" w:cs="Times New Roman"/>
          <w:sz w:val="24"/>
          <w:szCs w:val="24"/>
        </w:rPr>
        <w:t>OGS TV, INC.</w:t>
      </w:r>
    </w:p>
    <w:p w14:paraId="0D9C4E29" w14:textId="77777777" w:rsidR="00F1748D" w:rsidRDefault="00F1748D" w:rsidP="00F1748D">
      <w:pPr>
        <w:spacing w:after="0" w:line="360" w:lineRule="auto"/>
        <w:rPr>
          <w:rFonts w:ascii="Times New Roman" w:hAnsi="Times New Roman" w:cs="Times New Roman"/>
          <w:sz w:val="24"/>
          <w:szCs w:val="24"/>
        </w:rPr>
      </w:pPr>
      <w:r>
        <w:rPr>
          <w:rFonts w:ascii="Times New Roman" w:hAnsi="Times New Roman" w:cs="Times New Roman"/>
          <w:sz w:val="24"/>
          <w:szCs w:val="24"/>
        </w:rPr>
        <w:tab/>
        <w:t>Plaintiff</w:t>
      </w:r>
    </w:p>
    <w:p w14:paraId="406F33C4" w14:textId="77777777" w:rsidR="00F1748D" w:rsidRDefault="00F1748D" w:rsidP="00F1748D">
      <w:pPr>
        <w:spacing w:after="0" w:line="36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PLAINTIFF’S MEMORANDUM</w:t>
      </w:r>
    </w:p>
    <w:p w14:paraId="0521BAE0" w14:textId="77777777" w:rsidR="00F1748D" w:rsidRDefault="00F1748D" w:rsidP="00F1748D">
      <w:pPr>
        <w:spacing w:after="0" w:line="360" w:lineRule="auto"/>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04313">
        <w:rPr>
          <w:rFonts w:ascii="Times New Roman" w:hAnsi="Times New Roman" w:cs="Times New Roman"/>
          <w:sz w:val="24"/>
          <w:szCs w:val="24"/>
        </w:rPr>
        <w:tab/>
      </w:r>
      <w:r w:rsidR="00F04313">
        <w:rPr>
          <w:rFonts w:ascii="Times New Roman" w:hAnsi="Times New Roman" w:cs="Times New Roman"/>
          <w:sz w:val="24"/>
          <w:szCs w:val="24"/>
        </w:rPr>
        <w:tab/>
      </w:r>
      <w:r w:rsidR="00F04313">
        <w:rPr>
          <w:rFonts w:ascii="Times New Roman" w:hAnsi="Times New Roman" w:cs="Times New Roman"/>
          <w:sz w:val="24"/>
          <w:szCs w:val="24"/>
        </w:rPr>
        <w:tab/>
      </w:r>
      <w:r w:rsidR="00F04313">
        <w:rPr>
          <w:rFonts w:ascii="Times New Roman" w:hAnsi="Times New Roman" w:cs="Times New Roman"/>
          <w:sz w:val="24"/>
          <w:szCs w:val="24"/>
        </w:rPr>
        <w:tab/>
        <w:t>AGAINST MOTION TO DISMISS</w:t>
      </w:r>
    </w:p>
    <w:p w14:paraId="7A0AE097" w14:textId="77777777" w:rsidR="00F1748D" w:rsidRDefault="00F1748D" w:rsidP="00F1748D">
      <w:pPr>
        <w:spacing w:after="0" w:line="360" w:lineRule="auto"/>
        <w:rPr>
          <w:rFonts w:ascii="Times New Roman" w:hAnsi="Times New Roman" w:cs="Times New Roman"/>
          <w:sz w:val="24"/>
          <w:szCs w:val="24"/>
        </w:rPr>
      </w:pPr>
    </w:p>
    <w:p w14:paraId="0E56EA0F" w14:textId="77777777" w:rsidR="00F1748D" w:rsidRDefault="00F1748D" w:rsidP="00F1748D">
      <w:pPr>
        <w:spacing w:after="0" w:line="360" w:lineRule="auto"/>
        <w:rPr>
          <w:rFonts w:ascii="Times New Roman" w:hAnsi="Times New Roman" w:cs="Times New Roman"/>
          <w:sz w:val="24"/>
          <w:szCs w:val="24"/>
        </w:rPr>
      </w:pPr>
      <w:r>
        <w:rPr>
          <w:rFonts w:ascii="Times New Roman" w:hAnsi="Times New Roman" w:cs="Times New Roman"/>
          <w:sz w:val="24"/>
          <w:szCs w:val="24"/>
        </w:rPr>
        <w:t>Elizabeth Lime, and TinyTV, Inc.</w:t>
      </w:r>
    </w:p>
    <w:p w14:paraId="375DF5D3" w14:textId="77777777" w:rsidR="00F1748D" w:rsidRDefault="00F1748D" w:rsidP="00F1748D">
      <w:pPr>
        <w:pBdr>
          <w:bottom w:val="single" w:sz="12" w:space="1" w:color="auto"/>
        </w:pBdr>
        <w:spacing w:after="0" w:line="360" w:lineRule="auto"/>
        <w:rPr>
          <w:rFonts w:ascii="Times New Roman" w:hAnsi="Times New Roman" w:cs="Times New Roman"/>
          <w:sz w:val="24"/>
          <w:szCs w:val="24"/>
        </w:rPr>
      </w:pPr>
      <w:r>
        <w:rPr>
          <w:rFonts w:ascii="Times New Roman" w:hAnsi="Times New Roman" w:cs="Times New Roman"/>
          <w:sz w:val="24"/>
          <w:szCs w:val="24"/>
        </w:rPr>
        <w:tab/>
        <w:t>Defendants</w:t>
      </w:r>
    </w:p>
    <w:p w14:paraId="2AAC7838" w14:textId="77777777" w:rsidR="00F1748D" w:rsidRDefault="00F1748D" w:rsidP="00F1748D">
      <w:pPr>
        <w:spacing w:line="480" w:lineRule="auto"/>
        <w:rPr>
          <w:rFonts w:ascii="Times New Roman" w:hAnsi="Times New Roman" w:cs="Times New Roman"/>
          <w:b/>
          <w:sz w:val="24"/>
          <w:szCs w:val="24"/>
        </w:rPr>
      </w:pPr>
    </w:p>
    <w:p w14:paraId="358CCAA5" w14:textId="77777777" w:rsidR="002E2FB1" w:rsidRDefault="002E2FB1" w:rsidP="00E550CF">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QUESTION PRESENTED</w:t>
      </w:r>
    </w:p>
    <w:p w14:paraId="7546EEA9" w14:textId="77777777" w:rsidR="002E2FB1" w:rsidRPr="002E2FB1" w:rsidRDefault="00C4610B" w:rsidP="000118F8">
      <w:pPr>
        <w:spacing w:line="480" w:lineRule="auto"/>
        <w:rPr>
          <w:rFonts w:ascii="Times New Roman" w:hAnsi="Times New Roman" w:cs="Times New Roman"/>
          <w:sz w:val="24"/>
          <w:szCs w:val="24"/>
        </w:rPr>
      </w:pPr>
      <w:r>
        <w:rPr>
          <w:rFonts w:ascii="Times New Roman" w:hAnsi="Times New Roman" w:cs="Times New Roman"/>
          <w:sz w:val="24"/>
          <w:szCs w:val="24"/>
        </w:rPr>
        <w:tab/>
      </w:r>
      <w:r w:rsidR="00C61BDF">
        <w:rPr>
          <w:rFonts w:ascii="Times New Roman" w:hAnsi="Times New Roman" w:cs="Times New Roman"/>
          <w:sz w:val="24"/>
          <w:szCs w:val="24"/>
        </w:rPr>
        <w:t xml:space="preserve">The Copyright Act of 1976 provides that a work made for hire is valid “if the parties expressly agree in a written instrument signed by them that the work shall be considered a work made for hire” 17 U.S.C. § 101(2) (1976). It is undisputed that a written agreement was signed by both parties following an oral agreement for a work made for hire and the subsequent creation of the work (Compl. ¶¶ 18, 24-25). The question presented is whether a writing is required </w:t>
      </w:r>
      <w:r w:rsidR="00C61BDF">
        <w:rPr>
          <w:rFonts w:ascii="Times New Roman" w:hAnsi="Times New Roman" w:cs="Times New Roman"/>
          <w:i/>
          <w:sz w:val="24"/>
          <w:szCs w:val="24"/>
        </w:rPr>
        <w:t>prior</w:t>
      </w:r>
      <w:r w:rsidR="00C61BDF">
        <w:rPr>
          <w:rFonts w:ascii="Times New Roman" w:hAnsi="Times New Roman" w:cs="Times New Roman"/>
          <w:sz w:val="24"/>
          <w:szCs w:val="24"/>
        </w:rPr>
        <w:t xml:space="preserve"> to the creation of the work in order to comply with the Copyright Act of 1976.  </w:t>
      </w:r>
    </w:p>
    <w:p w14:paraId="3D3EB79D" w14:textId="77777777" w:rsidR="00837916" w:rsidRPr="00DD4B51" w:rsidRDefault="00E550CF" w:rsidP="00E550CF">
      <w:pPr>
        <w:spacing w:line="480" w:lineRule="auto"/>
        <w:jc w:val="center"/>
        <w:rPr>
          <w:rFonts w:ascii="Times New Roman" w:hAnsi="Times New Roman" w:cs="Times New Roman"/>
          <w:b/>
          <w:sz w:val="24"/>
          <w:szCs w:val="24"/>
          <w:u w:val="single"/>
        </w:rPr>
      </w:pPr>
      <w:r w:rsidRPr="00DD4B51">
        <w:rPr>
          <w:rFonts w:ascii="Times New Roman" w:hAnsi="Times New Roman" w:cs="Times New Roman"/>
          <w:b/>
          <w:sz w:val="24"/>
          <w:szCs w:val="24"/>
          <w:u w:val="single"/>
        </w:rPr>
        <w:t>INTRODUCTION</w:t>
      </w:r>
    </w:p>
    <w:p w14:paraId="2A16E35E" w14:textId="77777777" w:rsidR="00CD5414" w:rsidRDefault="00A7260F" w:rsidP="00CD5414">
      <w:pPr>
        <w:spacing w:line="480" w:lineRule="auto"/>
        <w:ind w:firstLine="720"/>
        <w:rPr>
          <w:rFonts w:ascii="Times New Roman" w:hAnsi="Times New Roman" w:cs="Times New Roman"/>
          <w:sz w:val="24"/>
          <w:szCs w:val="24"/>
        </w:rPr>
      </w:pPr>
      <w:r>
        <w:rPr>
          <w:rFonts w:ascii="Times New Roman" w:hAnsi="Times New Roman" w:cs="Times New Roman"/>
          <w:sz w:val="24"/>
          <w:szCs w:val="24"/>
        </w:rPr>
        <w:t>On September 7, 2010, Lime and TinyTV</w:t>
      </w:r>
      <w:r w:rsidR="007F0602" w:rsidRPr="00CA5D12">
        <w:rPr>
          <w:rFonts w:ascii="Times New Roman" w:hAnsi="Times New Roman" w:cs="Times New Roman"/>
          <w:sz w:val="24"/>
          <w:szCs w:val="24"/>
        </w:rPr>
        <w:t xml:space="preserve">, </w:t>
      </w:r>
      <w:r>
        <w:rPr>
          <w:rFonts w:ascii="Times New Roman" w:hAnsi="Times New Roman" w:cs="Times New Roman"/>
          <w:sz w:val="24"/>
          <w:szCs w:val="24"/>
        </w:rPr>
        <w:t>without the consent of OGS</w:t>
      </w:r>
      <w:r w:rsidR="007F0602" w:rsidRPr="00CA5D12">
        <w:rPr>
          <w:rFonts w:ascii="Times New Roman" w:hAnsi="Times New Roman" w:cs="Times New Roman"/>
          <w:sz w:val="24"/>
          <w:szCs w:val="24"/>
        </w:rPr>
        <w:t xml:space="preserve">, produced and performed the screenplay </w:t>
      </w:r>
      <w:r w:rsidR="007F0602">
        <w:rPr>
          <w:rFonts w:ascii="Times New Roman" w:hAnsi="Times New Roman" w:cs="Times New Roman"/>
          <w:sz w:val="24"/>
          <w:szCs w:val="24"/>
        </w:rPr>
        <w:t>“The Love Below” on television,</w:t>
      </w:r>
      <w:r w:rsidR="00D05E6C">
        <w:rPr>
          <w:rFonts w:ascii="Times New Roman" w:hAnsi="Times New Roman" w:cs="Times New Roman"/>
          <w:sz w:val="24"/>
          <w:szCs w:val="24"/>
        </w:rPr>
        <w:t xml:space="preserve"> which copi</w:t>
      </w:r>
      <w:r>
        <w:rPr>
          <w:rFonts w:ascii="Times New Roman" w:hAnsi="Times New Roman" w:cs="Times New Roman"/>
          <w:sz w:val="24"/>
          <w:szCs w:val="24"/>
        </w:rPr>
        <w:t>ed in substantial part OGS</w:t>
      </w:r>
      <w:r w:rsidR="00D05E6C">
        <w:rPr>
          <w:rFonts w:ascii="Times New Roman" w:hAnsi="Times New Roman" w:cs="Times New Roman"/>
          <w:sz w:val="24"/>
          <w:szCs w:val="24"/>
        </w:rPr>
        <w:t xml:space="preserve">’s copyrighted screenplay for its series </w:t>
      </w:r>
      <w:r w:rsidR="00D05E6C">
        <w:rPr>
          <w:rFonts w:ascii="Times New Roman" w:hAnsi="Times New Roman" w:cs="Times New Roman"/>
          <w:i/>
          <w:sz w:val="24"/>
          <w:szCs w:val="24"/>
        </w:rPr>
        <w:t>Lawless Love</w:t>
      </w:r>
      <w:r w:rsidR="00D05E6C">
        <w:rPr>
          <w:rFonts w:ascii="Times New Roman" w:hAnsi="Times New Roman" w:cs="Times New Roman"/>
          <w:sz w:val="24"/>
          <w:szCs w:val="24"/>
        </w:rPr>
        <w:t>.</w:t>
      </w:r>
      <w:r w:rsidR="00CD5414">
        <w:rPr>
          <w:rFonts w:ascii="Times New Roman" w:hAnsi="Times New Roman" w:cs="Times New Roman"/>
          <w:sz w:val="24"/>
          <w:szCs w:val="24"/>
        </w:rPr>
        <w:t xml:space="preserve"> </w:t>
      </w:r>
      <w:r w:rsidR="00F04313">
        <w:rPr>
          <w:rFonts w:ascii="Times New Roman" w:hAnsi="Times New Roman" w:cs="Times New Roman"/>
          <w:sz w:val="24"/>
          <w:szCs w:val="24"/>
        </w:rPr>
        <w:t>OGS files this brief in opposition to</w:t>
      </w:r>
      <w:r>
        <w:rPr>
          <w:rFonts w:ascii="Times New Roman" w:hAnsi="Times New Roman" w:cs="Times New Roman"/>
          <w:sz w:val="24"/>
          <w:szCs w:val="24"/>
        </w:rPr>
        <w:t xml:space="preserve"> Lime and Tiny TV</w:t>
      </w:r>
      <w:r w:rsidR="00D05E6C">
        <w:rPr>
          <w:rFonts w:ascii="Times New Roman" w:hAnsi="Times New Roman" w:cs="Times New Roman"/>
          <w:sz w:val="24"/>
          <w:szCs w:val="24"/>
        </w:rPr>
        <w:t>’</w:t>
      </w:r>
      <w:r>
        <w:rPr>
          <w:rFonts w:ascii="Times New Roman" w:hAnsi="Times New Roman" w:cs="Times New Roman"/>
          <w:sz w:val="24"/>
          <w:szCs w:val="24"/>
        </w:rPr>
        <w:t>s</w:t>
      </w:r>
      <w:r w:rsidR="000118F8">
        <w:rPr>
          <w:rFonts w:ascii="Times New Roman" w:hAnsi="Times New Roman" w:cs="Times New Roman"/>
          <w:sz w:val="24"/>
          <w:szCs w:val="24"/>
        </w:rPr>
        <w:t xml:space="preserve"> motion to dismiss</w:t>
      </w:r>
      <w:r w:rsidR="00D05E6C">
        <w:rPr>
          <w:rFonts w:ascii="Times New Roman" w:hAnsi="Times New Roman" w:cs="Times New Roman"/>
          <w:sz w:val="24"/>
          <w:szCs w:val="24"/>
        </w:rPr>
        <w:t xml:space="preserve"> under </w:t>
      </w:r>
      <w:r w:rsidR="00904B89">
        <w:rPr>
          <w:rFonts w:ascii="Times New Roman" w:hAnsi="Times New Roman" w:cs="Times New Roman"/>
          <w:sz w:val="24"/>
          <w:szCs w:val="24"/>
        </w:rPr>
        <w:t>Federal Rule of Civil Procedure</w:t>
      </w:r>
      <w:r w:rsidR="00CD3C80" w:rsidRPr="00904B89">
        <w:rPr>
          <w:rFonts w:ascii="Times New Roman" w:hAnsi="Times New Roman" w:cs="Times New Roman"/>
          <w:sz w:val="24"/>
          <w:szCs w:val="24"/>
        </w:rPr>
        <w:t xml:space="preserve"> 12(c</w:t>
      </w:r>
      <w:r w:rsidR="00D05E6C" w:rsidRPr="00904B89">
        <w:rPr>
          <w:rFonts w:ascii="Times New Roman" w:hAnsi="Times New Roman" w:cs="Times New Roman"/>
          <w:sz w:val="24"/>
          <w:szCs w:val="24"/>
        </w:rPr>
        <w:t>)</w:t>
      </w:r>
      <w:r w:rsidR="00D05E6C">
        <w:rPr>
          <w:rFonts w:ascii="Times New Roman" w:hAnsi="Times New Roman" w:cs="Times New Roman"/>
          <w:sz w:val="24"/>
          <w:szCs w:val="24"/>
        </w:rPr>
        <w:t>. The facts plead in the complaint (outlined below) are more than sufficient to state a claim for which relief can be granted.</w:t>
      </w:r>
      <w:r>
        <w:rPr>
          <w:rFonts w:ascii="Times New Roman" w:hAnsi="Times New Roman" w:cs="Times New Roman"/>
          <w:sz w:val="24"/>
          <w:szCs w:val="24"/>
        </w:rPr>
        <w:t xml:space="preserve"> </w:t>
      </w:r>
    </w:p>
    <w:p w14:paraId="4B1D651D" w14:textId="77777777" w:rsidR="00D05E6C" w:rsidRDefault="00A7260F" w:rsidP="00CD5414">
      <w:pPr>
        <w:spacing w:line="480" w:lineRule="auto"/>
        <w:ind w:firstLine="720"/>
        <w:rPr>
          <w:rFonts w:ascii="Times New Roman" w:hAnsi="Times New Roman" w:cs="Times New Roman"/>
          <w:sz w:val="24"/>
        </w:rPr>
      </w:pPr>
      <w:r>
        <w:rPr>
          <w:rFonts w:ascii="Times New Roman" w:hAnsi="Times New Roman" w:cs="Times New Roman"/>
          <w:sz w:val="24"/>
          <w:szCs w:val="24"/>
        </w:rPr>
        <w:lastRenderedPageBreak/>
        <w:t>Lime and TinyTV</w:t>
      </w:r>
      <w:r w:rsidR="007939BD">
        <w:rPr>
          <w:rFonts w:ascii="Times New Roman" w:hAnsi="Times New Roman" w:cs="Times New Roman"/>
          <w:sz w:val="24"/>
          <w:szCs w:val="24"/>
        </w:rPr>
        <w:t xml:space="preserve"> copied </w:t>
      </w:r>
      <w:r>
        <w:rPr>
          <w:rFonts w:ascii="Times New Roman" w:hAnsi="Times New Roman" w:cs="Times New Roman"/>
          <w:sz w:val="24"/>
          <w:szCs w:val="24"/>
        </w:rPr>
        <w:t>OGS</w:t>
      </w:r>
      <w:r w:rsidR="007939BD">
        <w:rPr>
          <w:rFonts w:ascii="Times New Roman" w:hAnsi="Times New Roman" w:cs="Times New Roman"/>
          <w:sz w:val="24"/>
          <w:szCs w:val="24"/>
        </w:rPr>
        <w:t xml:space="preserve">’s copyrighted screenplay in blatant violation of the Copyright Act of 1976, damaging </w:t>
      </w:r>
      <w:r>
        <w:rPr>
          <w:rFonts w:ascii="Times New Roman" w:hAnsi="Times New Roman" w:cs="Times New Roman"/>
          <w:sz w:val="24"/>
          <w:szCs w:val="24"/>
        </w:rPr>
        <w:t>OGS</w:t>
      </w:r>
      <w:r w:rsidR="00CD5414">
        <w:rPr>
          <w:rFonts w:ascii="Times New Roman" w:hAnsi="Times New Roman" w:cs="Times New Roman"/>
          <w:sz w:val="24"/>
          <w:szCs w:val="24"/>
        </w:rPr>
        <w:t xml:space="preserve"> in excess of $86,000. Lime now attempts to renege on her oral and written work for hire agreements by inventing a temporal restriction in a statute whose plain text holds no support for such an assertion</w:t>
      </w:r>
      <w:r w:rsidR="00B11C5E">
        <w:rPr>
          <w:rFonts w:ascii="Times New Roman" w:hAnsi="Times New Roman" w:cs="Times New Roman"/>
          <w:sz w:val="24"/>
          <w:szCs w:val="24"/>
        </w:rPr>
        <w:t xml:space="preserve"> – and in doing so, Lime clashes with established industry custom: “… in the real world, publishers and editors frequently deal informally with writers… The telephone, and not a “written instrument” is the means by which the assignment is made and by reason of which the work is performed” </w:t>
      </w:r>
      <w:r w:rsidR="00B11C5E" w:rsidRPr="00B11C5E">
        <w:rPr>
          <w:rFonts w:ascii="Times New Roman" w:hAnsi="Times New Roman" w:cs="Times New Roman"/>
          <w:sz w:val="24"/>
        </w:rPr>
        <w:t xml:space="preserve">2 E. Gabriel Perle &amp; John Taylor Williams, </w:t>
      </w:r>
      <w:r w:rsidR="00B11C5E" w:rsidRPr="00B11C5E">
        <w:rPr>
          <w:rStyle w:val="Emphasis"/>
          <w:rFonts w:ascii="Times New Roman" w:hAnsi="Times New Roman" w:cs="Times New Roman"/>
          <w:sz w:val="24"/>
        </w:rPr>
        <w:t>The Publishing Law Handbook,</w:t>
      </w:r>
      <w:r w:rsidR="00B11C5E" w:rsidRPr="00B11C5E">
        <w:rPr>
          <w:rFonts w:ascii="Times New Roman" w:hAnsi="Times New Roman" w:cs="Times New Roman"/>
          <w:sz w:val="24"/>
        </w:rPr>
        <w:t xml:space="preserve"> § 15.03(g), at 15-23 (2d ed. 1992).</w:t>
      </w:r>
    </w:p>
    <w:p w14:paraId="41BCECD1" w14:textId="77777777" w:rsidR="00B11C5E" w:rsidRPr="00D05E6C" w:rsidRDefault="008C75FC" w:rsidP="00CD5414">
      <w:pPr>
        <w:spacing w:line="480" w:lineRule="auto"/>
        <w:ind w:firstLine="720"/>
        <w:rPr>
          <w:rFonts w:ascii="Times New Roman" w:hAnsi="Times New Roman" w:cs="Times New Roman"/>
          <w:sz w:val="24"/>
          <w:szCs w:val="24"/>
        </w:rPr>
      </w:pPr>
      <w:r>
        <w:rPr>
          <w:rFonts w:ascii="Times New Roman" w:hAnsi="Times New Roman" w:cs="Times New Roman"/>
          <w:sz w:val="24"/>
        </w:rPr>
        <w:t>OGS prevails</w:t>
      </w:r>
      <w:r w:rsidR="00B11C5E">
        <w:rPr>
          <w:rFonts w:ascii="Times New Roman" w:hAnsi="Times New Roman" w:cs="Times New Roman"/>
          <w:sz w:val="24"/>
        </w:rPr>
        <w:t xml:space="preserve"> because (1) the plain text of the statute requires no writing prior to the creation of a work made for hire, (2) legislative history suggests Congress meant to complement industry custom and require no prior writing, (3) no case has ever found a prior writing requirement in the face of a prior oral agreement, as we have here, and (4) sound public policy dictates that fair contracts between sophisticated parties should be enforced.  </w:t>
      </w:r>
    </w:p>
    <w:p w14:paraId="07D5DB41" w14:textId="77777777" w:rsidR="00837916" w:rsidRPr="00DD4B51" w:rsidRDefault="00DD4B51" w:rsidP="00E550CF">
      <w:pPr>
        <w:spacing w:line="480" w:lineRule="auto"/>
        <w:jc w:val="center"/>
        <w:rPr>
          <w:rFonts w:ascii="Times New Roman" w:hAnsi="Times New Roman" w:cs="Times New Roman"/>
          <w:b/>
          <w:sz w:val="24"/>
          <w:szCs w:val="24"/>
          <w:u w:val="single"/>
        </w:rPr>
      </w:pPr>
      <w:r w:rsidRPr="00DD4B51">
        <w:rPr>
          <w:rFonts w:ascii="Times New Roman" w:hAnsi="Times New Roman" w:cs="Times New Roman"/>
          <w:b/>
          <w:sz w:val="24"/>
          <w:szCs w:val="24"/>
          <w:u w:val="single"/>
        </w:rPr>
        <w:t>FACTS</w:t>
      </w:r>
    </w:p>
    <w:p w14:paraId="32491179" w14:textId="77777777" w:rsidR="00837916" w:rsidRDefault="00FA1ADE" w:rsidP="00361F4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OGS TV is a television network in Moo</w:t>
      </w:r>
      <w:r w:rsidR="007220CF">
        <w:rPr>
          <w:rFonts w:ascii="Times New Roman" w:hAnsi="Times New Roman" w:cs="Times New Roman"/>
          <w:sz w:val="24"/>
          <w:szCs w:val="24"/>
        </w:rPr>
        <w:t>t</w:t>
      </w:r>
      <w:r>
        <w:rPr>
          <w:rFonts w:ascii="Times New Roman" w:hAnsi="Times New Roman" w:cs="Times New Roman"/>
          <w:sz w:val="24"/>
          <w:szCs w:val="24"/>
        </w:rPr>
        <w:t xml:space="preserve">. </w:t>
      </w:r>
      <w:r w:rsidR="007761D8">
        <w:rPr>
          <w:rFonts w:ascii="Times New Roman" w:hAnsi="Times New Roman" w:cs="Times New Roman"/>
          <w:sz w:val="24"/>
          <w:szCs w:val="24"/>
        </w:rPr>
        <w:t>Elizabeth Lime is a screenwriter, and TinyTV is another tele</w:t>
      </w:r>
      <w:r w:rsidR="007220CF">
        <w:rPr>
          <w:rFonts w:ascii="Times New Roman" w:hAnsi="Times New Roman" w:cs="Times New Roman"/>
          <w:sz w:val="24"/>
          <w:szCs w:val="24"/>
        </w:rPr>
        <w:t>vision network in Moot</w:t>
      </w:r>
      <w:r w:rsidR="007761D8">
        <w:rPr>
          <w:rFonts w:ascii="Times New Roman" w:hAnsi="Times New Roman" w:cs="Times New Roman"/>
          <w:sz w:val="24"/>
          <w:szCs w:val="24"/>
        </w:rPr>
        <w:t xml:space="preserve">. </w:t>
      </w:r>
      <w:r w:rsidR="007220CF">
        <w:rPr>
          <w:rFonts w:ascii="Times New Roman" w:hAnsi="Times New Roman" w:cs="Times New Roman"/>
          <w:sz w:val="24"/>
          <w:szCs w:val="24"/>
        </w:rPr>
        <w:t>OGS</w:t>
      </w:r>
      <w:r w:rsidR="00E550CF">
        <w:rPr>
          <w:rFonts w:ascii="Times New Roman" w:hAnsi="Times New Roman" w:cs="Times New Roman"/>
          <w:sz w:val="24"/>
          <w:szCs w:val="24"/>
        </w:rPr>
        <w:t xml:space="preserve"> has created, produced, and aired an original television series entitled </w:t>
      </w:r>
      <w:r w:rsidR="00E550CF">
        <w:rPr>
          <w:rFonts w:ascii="Times New Roman" w:hAnsi="Times New Roman" w:cs="Times New Roman"/>
          <w:i/>
          <w:sz w:val="24"/>
          <w:szCs w:val="24"/>
        </w:rPr>
        <w:t>Lawless Love</w:t>
      </w:r>
      <w:r w:rsidR="00E550CF">
        <w:rPr>
          <w:rFonts w:ascii="Times New Roman" w:hAnsi="Times New Roman" w:cs="Times New Roman"/>
          <w:sz w:val="24"/>
          <w:szCs w:val="24"/>
        </w:rPr>
        <w:t xml:space="preserve">, and has hired eight writers as regular employees to prepare </w:t>
      </w:r>
      <w:r>
        <w:rPr>
          <w:rFonts w:ascii="Times New Roman" w:hAnsi="Times New Roman" w:cs="Times New Roman"/>
          <w:sz w:val="24"/>
          <w:szCs w:val="24"/>
        </w:rPr>
        <w:t xml:space="preserve">most of </w:t>
      </w:r>
      <w:r w:rsidR="00E550CF">
        <w:rPr>
          <w:rFonts w:ascii="Times New Roman" w:hAnsi="Times New Roman" w:cs="Times New Roman"/>
          <w:sz w:val="24"/>
          <w:szCs w:val="24"/>
        </w:rPr>
        <w:t xml:space="preserve">the </w:t>
      </w:r>
      <w:r w:rsidR="004D330B">
        <w:rPr>
          <w:rFonts w:ascii="Times New Roman" w:hAnsi="Times New Roman" w:cs="Times New Roman"/>
          <w:sz w:val="24"/>
          <w:szCs w:val="24"/>
        </w:rPr>
        <w:t>screenplays, w</w:t>
      </w:r>
      <w:r w:rsidR="009005FE">
        <w:rPr>
          <w:rFonts w:ascii="Times New Roman" w:hAnsi="Times New Roman" w:cs="Times New Roman"/>
          <w:sz w:val="24"/>
          <w:szCs w:val="24"/>
        </w:rPr>
        <w:t>hich are comprised of original, creative material</w:t>
      </w:r>
      <w:r w:rsidR="00FF4E5E">
        <w:rPr>
          <w:rFonts w:ascii="Times New Roman" w:hAnsi="Times New Roman" w:cs="Times New Roman"/>
          <w:sz w:val="24"/>
          <w:szCs w:val="24"/>
        </w:rPr>
        <w:t>.</w:t>
      </w:r>
      <w:r w:rsidR="00626365">
        <w:rPr>
          <w:rFonts w:ascii="Times New Roman" w:hAnsi="Times New Roman" w:cs="Times New Roman"/>
          <w:sz w:val="24"/>
          <w:szCs w:val="24"/>
        </w:rPr>
        <w:t xml:space="preserve"> (Compl. ¶ 5</w:t>
      </w:r>
      <w:r w:rsidR="00FF4E5E">
        <w:rPr>
          <w:rFonts w:ascii="Times New Roman" w:hAnsi="Times New Roman" w:cs="Times New Roman"/>
          <w:sz w:val="24"/>
          <w:szCs w:val="24"/>
        </w:rPr>
        <w:t>.</w:t>
      </w:r>
      <w:r w:rsidR="00626365">
        <w:rPr>
          <w:rFonts w:ascii="Times New Roman" w:hAnsi="Times New Roman" w:cs="Times New Roman"/>
          <w:sz w:val="24"/>
          <w:szCs w:val="24"/>
        </w:rPr>
        <w:t>)</w:t>
      </w:r>
      <w:r w:rsidR="004D330B">
        <w:rPr>
          <w:rFonts w:ascii="Times New Roman" w:hAnsi="Times New Roman" w:cs="Times New Roman"/>
          <w:sz w:val="24"/>
          <w:szCs w:val="24"/>
        </w:rPr>
        <w:t xml:space="preserve"> On March 27, 2010, Dav</w:t>
      </w:r>
      <w:r w:rsidR="007220CF">
        <w:rPr>
          <w:rFonts w:ascii="Times New Roman" w:hAnsi="Times New Roman" w:cs="Times New Roman"/>
          <w:sz w:val="24"/>
          <w:szCs w:val="24"/>
        </w:rPr>
        <w:t xml:space="preserve">e Nelson, on behalf of OGS, met with </w:t>
      </w:r>
      <w:r w:rsidR="004D330B">
        <w:rPr>
          <w:rFonts w:ascii="Times New Roman" w:hAnsi="Times New Roman" w:cs="Times New Roman"/>
          <w:sz w:val="24"/>
          <w:szCs w:val="24"/>
        </w:rPr>
        <w:t>Lime and contracted with her to pr</w:t>
      </w:r>
      <w:r w:rsidR="007220CF">
        <w:rPr>
          <w:rFonts w:ascii="Times New Roman" w:hAnsi="Times New Roman" w:cs="Times New Roman"/>
          <w:sz w:val="24"/>
          <w:szCs w:val="24"/>
        </w:rPr>
        <w:t>epare a screenplay for OGS</w:t>
      </w:r>
      <w:r w:rsidR="004D330B">
        <w:rPr>
          <w:rFonts w:ascii="Times New Roman" w:hAnsi="Times New Roman" w:cs="Times New Roman"/>
          <w:sz w:val="24"/>
          <w:szCs w:val="24"/>
        </w:rPr>
        <w:t xml:space="preserve">, for use in the series </w:t>
      </w:r>
      <w:r w:rsidR="004D330B">
        <w:rPr>
          <w:rFonts w:ascii="Times New Roman" w:hAnsi="Times New Roman" w:cs="Times New Roman"/>
          <w:i/>
          <w:sz w:val="24"/>
          <w:szCs w:val="24"/>
        </w:rPr>
        <w:t>Lawless Love</w:t>
      </w:r>
      <w:r w:rsidR="004D330B">
        <w:rPr>
          <w:rFonts w:ascii="Times New Roman" w:hAnsi="Times New Roman" w:cs="Times New Roman"/>
          <w:sz w:val="24"/>
          <w:szCs w:val="24"/>
        </w:rPr>
        <w:t>. During the meet</w:t>
      </w:r>
      <w:r w:rsidR="007220CF">
        <w:rPr>
          <w:rFonts w:ascii="Times New Roman" w:hAnsi="Times New Roman" w:cs="Times New Roman"/>
          <w:sz w:val="24"/>
          <w:szCs w:val="24"/>
        </w:rPr>
        <w:t xml:space="preserve">ing, Dave Nelson told </w:t>
      </w:r>
      <w:r w:rsidR="004D330B">
        <w:rPr>
          <w:rFonts w:ascii="Times New Roman" w:hAnsi="Times New Roman" w:cs="Times New Roman"/>
          <w:sz w:val="24"/>
          <w:szCs w:val="24"/>
        </w:rPr>
        <w:t>Lime that, “Your work on the screenplay is for hire. For all intents and purposes, we’</w:t>
      </w:r>
      <w:r w:rsidR="00626365">
        <w:rPr>
          <w:rFonts w:ascii="Times New Roman" w:hAnsi="Times New Roman" w:cs="Times New Roman"/>
          <w:sz w:val="24"/>
          <w:szCs w:val="24"/>
        </w:rPr>
        <w:t>ll be the author</w:t>
      </w:r>
      <w:r w:rsidR="00FF4E5E">
        <w:rPr>
          <w:rFonts w:ascii="Times New Roman" w:hAnsi="Times New Roman" w:cs="Times New Roman"/>
          <w:sz w:val="24"/>
          <w:szCs w:val="24"/>
        </w:rPr>
        <w:t>.</w:t>
      </w:r>
      <w:r w:rsidR="004D330B">
        <w:rPr>
          <w:rFonts w:ascii="Times New Roman" w:hAnsi="Times New Roman" w:cs="Times New Roman"/>
          <w:sz w:val="24"/>
          <w:szCs w:val="24"/>
        </w:rPr>
        <w:t xml:space="preserve">” </w:t>
      </w:r>
      <w:r w:rsidR="00802F1C">
        <w:rPr>
          <w:rFonts w:ascii="Times New Roman" w:hAnsi="Times New Roman" w:cs="Times New Roman"/>
          <w:sz w:val="24"/>
          <w:szCs w:val="24"/>
        </w:rPr>
        <w:t>(</w:t>
      </w:r>
      <w:r w:rsidR="00802F1C">
        <w:rPr>
          <w:rFonts w:ascii="Times New Roman" w:hAnsi="Times New Roman" w:cs="Times New Roman"/>
          <w:i/>
          <w:sz w:val="24"/>
          <w:szCs w:val="24"/>
        </w:rPr>
        <w:t>Id.</w:t>
      </w:r>
      <w:r w:rsidR="00FF4E5E">
        <w:rPr>
          <w:rFonts w:ascii="Times New Roman" w:hAnsi="Times New Roman" w:cs="Times New Roman"/>
          <w:sz w:val="24"/>
          <w:szCs w:val="24"/>
        </w:rPr>
        <w:t xml:space="preserve"> ¶ 16.)</w:t>
      </w:r>
      <w:r w:rsidR="00626365">
        <w:rPr>
          <w:rFonts w:ascii="Times New Roman" w:hAnsi="Times New Roman" w:cs="Times New Roman"/>
          <w:sz w:val="24"/>
          <w:szCs w:val="24"/>
        </w:rPr>
        <w:t xml:space="preserve"> </w:t>
      </w:r>
      <w:r w:rsidR="004D330B">
        <w:rPr>
          <w:rFonts w:ascii="Times New Roman" w:hAnsi="Times New Roman" w:cs="Times New Roman"/>
          <w:sz w:val="24"/>
          <w:szCs w:val="24"/>
        </w:rPr>
        <w:t xml:space="preserve">When asked whether she understood and if that </w:t>
      </w:r>
      <w:r w:rsidR="007220CF">
        <w:rPr>
          <w:rFonts w:ascii="Times New Roman" w:hAnsi="Times New Roman" w:cs="Times New Roman"/>
          <w:sz w:val="24"/>
          <w:szCs w:val="24"/>
        </w:rPr>
        <w:t xml:space="preserve">would be OK </w:t>
      </w:r>
      <w:r w:rsidR="007220CF">
        <w:rPr>
          <w:rFonts w:ascii="Times New Roman" w:hAnsi="Times New Roman" w:cs="Times New Roman"/>
          <w:sz w:val="24"/>
          <w:szCs w:val="24"/>
        </w:rPr>
        <w:lastRenderedPageBreak/>
        <w:t xml:space="preserve">with her, </w:t>
      </w:r>
      <w:r w:rsidR="004D330B">
        <w:rPr>
          <w:rFonts w:ascii="Times New Roman" w:hAnsi="Times New Roman" w:cs="Times New Roman"/>
          <w:sz w:val="24"/>
          <w:szCs w:val="24"/>
        </w:rPr>
        <w:t>Lime resp</w:t>
      </w:r>
      <w:r w:rsidR="007761D8">
        <w:rPr>
          <w:rFonts w:ascii="Times New Roman" w:hAnsi="Times New Roman" w:cs="Times New Roman"/>
          <w:sz w:val="24"/>
          <w:szCs w:val="24"/>
        </w:rPr>
        <w:t>onded, “Yes</w:t>
      </w:r>
      <w:r w:rsidR="00FF4E5E">
        <w:rPr>
          <w:rFonts w:ascii="Times New Roman" w:hAnsi="Times New Roman" w:cs="Times New Roman"/>
          <w:sz w:val="24"/>
          <w:szCs w:val="24"/>
        </w:rPr>
        <w:t>.</w:t>
      </w:r>
      <w:r w:rsidR="004D330B">
        <w:rPr>
          <w:rFonts w:ascii="Times New Roman" w:hAnsi="Times New Roman" w:cs="Times New Roman"/>
          <w:sz w:val="24"/>
          <w:szCs w:val="24"/>
        </w:rPr>
        <w:t>”</w:t>
      </w:r>
      <w:r w:rsidR="007761D8">
        <w:rPr>
          <w:rFonts w:ascii="Times New Roman" w:hAnsi="Times New Roman" w:cs="Times New Roman"/>
          <w:sz w:val="24"/>
          <w:szCs w:val="24"/>
        </w:rPr>
        <w:t xml:space="preserve"> (</w:t>
      </w:r>
      <w:r w:rsidR="007761D8">
        <w:rPr>
          <w:rFonts w:ascii="Times New Roman" w:hAnsi="Times New Roman" w:cs="Times New Roman"/>
          <w:i/>
          <w:sz w:val="24"/>
          <w:szCs w:val="24"/>
        </w:rPr>
        <w:t>Id.</w:t>
      </w:r>
      <w:r w:rsidR="00FF4E5E">
        <w:rPr>
          <w:rFonts w:ascii="Times New Roman" w:hAnsi="Times New Roman" w:cs="Times New Roman"/>
          <w:sz w:val="24"/>
          <w:szCs w:val="24"/>
        </w:rPr>
        <w:t xml:space="preserve"> ¶ 17.)</w:t>
      </w:r>
      <w:r w:rsidR="007220CF">
        <w:rPr>
          <w:rFonts w:ascii="Times New Roman" w:hAnsi="Times New Roman" w:cs="Times New Roman"/>
          <w:sz w:val="24"/>
          <w:szCs w:val="24"/>
        </w:rPr>
        <w:t xml:space="preserve"> </w:t>
      </w:r>
      <w:r w:rsidR="00361F4D">
        <w:rPr>
          <w:rFonts w:ascii="Times New Roman" w:hAnsi="Times New Roman" w:cs="Times New Roman"/>
          <w:sz w:val="24"/>
          <w:szCs w:val="24"/>
        </w:rPr>
        <w:t xml:space="preserve">Lime </w:t>
      </w:r>
      <w:r w:rsidR="009D54BE">
        <w:rPr>
          <w:rFonts w:ascii="Times New Roman" w:hAnsi="Times New Roman" w:cs="Times New Roman"/>
          <w:sz w:val="24"/>
          <w:szCs w:val="24"/>
        </w:rPr>
        <w:t xml:space="preserve">orally </w:t>
      </w:r>
      <w:r w:rsidR="00361F4D">
        <w:rPr>
          <w:rFonts w:ascii="Times New Roman" w:hAnsi="Times New Roman" w:cs="Times New Roman"/>
          <w:sz w:val="24"/>
          <w:szCs w:val="24"/>
        </w:rPr>
        <w:t>agreed that the screenplay she would write was a work made for hire</w:t>
      </w:r>
      <w:r w:rsidR="00FF4E5E">
        <w:rPr>
          <w:rFonts w:ascii="Times New Roman" w:hAnsi="Times New Roman" w:cs="Times New Roman"/>
          <w:sz w:val="24"/>
          <w:szCs w:val="24"/>
        </w:rPr>
        <w:t>.</w:t>
      </w:r>
      <w:r w:rsidR="007761D8">
        <w:rPr>
          <w:rFonts w:ascii="Times New Roman" w:hAnsi="Times New Roman" w:cs="Times New Roman"/>
          <w:sz w:val="24"/>
          <w:szCs w:val="24"/>
        </w:rPr>
        <w:t xml:space="preserve"> (</w:t>
      </w:r>
      <w:r w:rsidR="007761D8">
        <w:rPr>
          <w:rFonts w:ascii="Times New Roman" w:hAnsi="Times New Roman" w:cs="Times New Roman"/>
          <w:i/>
          <w:sz w:val="24"/>
          <w:szCs w:val="24"/>
        </w:rPr>
        <w:t>Id.</w:t>
      </w:r>
      <w:r w:rsidR="007761D8">
        <w:rPr>
          <w:rFonts w:ascii="Times New Roman" w:hAnsi="Times New Roman" w:cs="Times New Roman"/>
          <w:sz w:val="24"/>
          <w:szCs w:val="24"/>
        </w:rPr>
        <w:t xml:space="preserve"> ¶ 18</w:t>
      </w:r>
      <w:r w:rsidR="00FF4E5E">
        <w:rPr>
          <w:rFonts w:ascii="Times New Roman" w:hAnsi="Times New Roman" w:cs="Times New Roman"/>
          <w:sz w:val="24"/>
          <w:szCs w:val="24"/>
        </w:rPr>
        <w:t>.</w:t>
      </w:r>
      <w:r w:rsidR="007761D8">
        <w:rPr>
          <w:rFonts w:ascii="Times New Roman" w:hAnsi="Times New Roman" w:cs="Times New Roman"/>
          <w:sz w:val="24"/>
          <w:szCs w:val="24"/>
        </w:rPr>
        <w:t>)</w:t>
      </w:r>
    </w:p>
    <w:p w14:paraId="38302606" w14:textId="77777777" w:rsidR="00361F4D" w:rsidRDefault="007220CF" w:rsidP="00361F4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April 1, 2010, </w:t>
      </w:r>
      <w:r w:rsidR="00361F4D">
        <w:rPr>
          <w:rFonts w:ascii="Times New Roman" w:hAnsi="Times New Roman" w:cs="Times New Roman"/>
          <w:sz w:val="24"/>
          <w:szCs w:val="24"/>
        </w:rPr>
        <w:t>Lime submitted a screenplay enti</w:t>
      </w:r>
      <w:r w:rsidR="007761D8">
        <w:rPr>
          <w:rFonts w:ascii="Times New Roman" w:hAnsi="Times New Roman" w:cs="Times New Roman"/>
          <w:sz w:val="24"/>
          <w:szCs w:val="24"/>
        </w:rPr>
        <w:t>tled, “Anticipatory Repudiation</w:t>
      </w:r>
      <w:r w:rsidR="00FF4E5E">
        <w:rPr>
          <w:rFonts w:ascii="Times New Roman" w:hAnsi="Times New Roman" w:cs="Times New Roman"/>
          <w:sz w:val="24"/>
          <w:szCs w:val="24"/>
        </w:rPr>
        <w:t>.</w:t>
      </w:r>
      <w:r w:rsidR="00361F4D">
        <w:rPr>
          <w:rFonts w:ascii="Times New Roman" w:hAnsi="Times New Roman" w:cs="Times New Roman"/>
          <w:sz w:val="24"/>
          <w:szCs w:val="24"/>
        </w:rPr>
        <w:t>”</w:t>
      </w:r>
      <w:r w:rsidR="007761D8">
        <w:rPr>
          <w:rFonts w:ascii="Times New Roman" w:hAnsi="Times New Roman" w:cs="Times New Roman"/>
          <w:sz w:val="24"/>
          <w:szCs w:val="24"/>
        </w:rPr>
        <w:t xml:space="preserve"> (</w:t>
      </w:r>
      <w:r w:rsidR="007761D8">
        <w:rPr>
          <w:rFonts w:ascii="Times New Roman" w:hAnsi="Times New Roman" w:cs="Times New Roman"/>
          <w:i/>
          <w:sz w:val="24"/>
          <w:szCs w:val="24"/>
        </w:rPr>
        <w:t>Id.</w:t>
      </w:r>
      <w:r w:rsidR="00FF4E5E">
        <w:rPr>
          <w:rFonts w:ascii="Times New Roman" w:hAnsi="Times New Roman" w:cs="Times New Roman"/>
          <w:sz w:val="24"/>
          <w:szCs w:val="24"/>
        </w:rPr>
        <w:t xml:space="preserve"> ¶ 21.)</w:t>
      </w:r>
      <w:r>
        <w:rPr>
          <w:rFonts w:ascii="Times New Roman" w:hAnsi="Times New Roman" w:cs="Times New Roman"/>
          <w:sz w:val="24"/>
          <w:szCs w:val="24"/>
        </w:rPr>
        <w:t xml:space="preserve"> The next day, OGS</w:t>
      </w:r>
      <w:r w:rsidR="00CA5D12">
        <w:rPr>
          <w:rFonts w:ascii="Times New Roman" w:hAnsi="Times New Roman" w:cs="Times New Roman"/>
          <w:sz w:val="24"/>
          <w:szCs w:val="24"/>
        </w:rPr>
        <w:t xml:space="preserve"> </w:t>
      </w:r>
      <w:r w:rsidR="00A05D55">
        <w:rPr>
          <w:rFonts w:ascii="Times New Roman" w:hAnsi="Times New Roman" w:cs="Times New Roman"/>
          <w:sz w:val="24"/>
          <w:szCs w:val="24"/>
        </w:rPr>
        <w:t>complied</w:t>
      </w:r>
      <w:r w:rsidR="00CA5D12" w:rsidRPr="00CA5D12">
        <w:rPr>
          <w:rFonts w:ascii="Times New Roman" w:hAnsi="Times New Roman" w:cs="Times New Roman"/>
          <w:sz w:val="24"/>
          <w:szCs w:val="24"/>
        </w:rPr>
        <w:t xml:space="preserve"> with the copyright laws of the United States and all other laws governing copyrights, and secured the exclusive rights and privileges in and to the television screenplay, “Anticipatory Repudiation,”</w:t>
      </w:r>
      <w:r w:rsidR="00A93230">
        <w:rPr>
          <w:rFonts w:ascii="Times New Roman" w:hAnsi="Times New Roman" w:cs="Times New Roman"/>
          <w:sz w:val="24"/>
          <w:szCs w:val="24"/>
        </w:rPr>
        <w:t xml:space="preserve"> an original work </w:t>
      </w:r>
      <w:r w:rsidR="00CA5D12" w:rsidRPr="00CA5D12">
        <w:rPr>
          <w:rFonts w:ascii="Times New Roman" w:hAnsi="Times New Roman" w:cs="Times New Roman"/>
          <w:sz w:val="24"/>
          <w:szCs w:val="24"/>
        </w:rPr>
        <w:t>fixed</w:t>
      </w:r>
      <w:r>
        <w:rPr>
          <w:rFonts w:ascii="Times New Roman" w:hAnsi="Times New Roman" w:cs="Times New Roman"/>
          <w:sz w:val="24"/>
          <w:szCs w:val="24"/>
        </w:rPr>
        <w:t xml:space="preserve"> in a tangible medium. OGS</w:t>
      </w:r>
      <w:r w:rsidR="00CA5D12" w:rsidRPr="00CA5D12">
        <w:rPr>
          <w:rFonts w:ascii="Times New Roman" w:hAnsi="Times New Roman" w:cs="Times New Roman"/>
          <w:sz w:val="24"/>
          <w:szCs w:val="24"/>
        </w:rPr>
        <w:t xml:space="preserve"> received from the Register of Copyrights a certificate of registration dated April 2, 2010</w:t>
      </w:r>
      <w:r w:rsidR="00FF4E5E">
        <w:rPr>
          <w:rFonts w:ascii="Times New Roman" w:hAnsi="Times New Roman" w:cs="Times New Roman"/>
          <w:sz w:val="24"/>
          <w:szCs w:val="24"/>
        </w:rPr>
        <w:t>.</w:t>
      </w:r>
      <w:r w:rsidR="007761D8">
        <w:rPr>
          <w:rFonts w:ascii="Times New Roman" w:hAnsi="Times New Roman" w:cs="Times New Roman"/>
          <w:sz w:val="24"/>
          <w:szCs w:val="24"/>
        </w:rPr>
        <w:t xml:space="preserve"> (</w:t>
      </w:r>
      <w:r w:rsidR="007761D8">
        <w:rPr>
          <w:rFonts w:ascii="Times New Roman" w:hAnsi="Times New Roman" w:cs="Times New Roman"/>
          <w:i/>
          <w:sz w:val="24"/>
          <w:szCs w:val="24"/>
        </w:rPr>
        <w:t>Id.</w:t>
      </w:r>
      <w:r w:rsidR="007761D8">
        <w:rPr>
          <w:rFonts w:ascii="Times New Roman" w:hAnsi="Times New Roman" w:cs="Times New Roman"/>
          <w:sz w:val="24"/>
          <w:szCs w:val="24"/>
        </w:rPr>
        <w:t xml:space="preserve"> ¶</w:t>
      </w:r>
      <w:r w:rsidR="00A93230">
        <w:rPr>
          <w:rFonts w:ascii="Times New Roman" w:hAnsi="Times New Roman" w:cs="Times New Roman"/>
          <w:sz w:val="24"/>
          <w:szCs w:val="24"/>
        </w:rPr>
        <w:t xml:space="preserve"> 22</w:t>
      </w:r>
      <w:r w:rsidR="00FF4E5E">
        <w:rPr>
          <w:rFonts w:ascii="Times New Roman" w:hAnsi="Times New Roman" w:cs="Times New Roman"/>
          <w:sz w:val="24"/>
          <w:szCs w:val="24"/>
        </w:rPr>
        <w:t>.</w:t>
      </w:r>
      <w:r w:rsidR="00A93230">
        <w:rPr>
          <w:rFonts w:ascii="Times New Roman" w:hAnsi="Times New Roman" w:cs="Times New Roman"/>
          <w:sz w:val="24"/>
          <w:szCs w:val="24"/>
        </w:rPr>
        <w:t>)</w:t>
      </w:r>
      <w:r w:rsidR="00CA5D12">
        <w:rPr>
          <w:rFonts w:ascii="Times New Roman" w:hAnsi="Times New Roman" w:cs="Times New Roman"/>
          <w:sz w:val="24"/>
          <w:szCs w:val="24"/>
        </w:rPr>
        <w:t xml:space="preserve"> </w:t>
      </w:r>
      <w:r>
        <w:rPr>
          <w:rFonts w:ascii="Times New Roman" w:hAnsi="Times New Roman" w:cs="Times New Roman"/>
          <w:sz w:val="24"/>
          <w:szCs w:val="24"/>
        </w:rPr>
        <w:t xml:space="preserve">On April 6, 2010, </w:t>
      </w:r>
      <w:r w:rsidR="00CA5D12" w:rsidRPr="00CA5D12">
        <w:rPr>
          <w:rFonts w:ascii="Times New Roman" w:hAnsi="Times New Roman" w:cs="Times New Roman"/>
          <w:sz w:val="24"/>
          <w:szCs w:val="24"/>
        </w:rPr>
        <w:t>Lime</w:t>
      </w:r>
      <w:r>
        <w:rPr>
          <w:rFonts w:ascii="Times New Roman" w:hAnsi="Times New Roman" w:cs="Times New Roman"/>
          <w:sz w:val="24"/>
          <w:szCs w:val="24"/>
        </w:rPr>
        <w:t xml:space="preserve"> came to the office of OGS</w:t>
      </w:r>
      <w:r w:rsidR="00CA5D12" w:rsidRPr="00CA5D12">
        <w:rPr>
          <w:rFonts w:ascii="Times New Roman" w:hAnsi="Times New Roman" w:cs="Times New Roman"/>
          <w:sz w:val="24"/>
          <w:szCs w:val="24"/>
        </w:rPr>
        <w:t>, where she picked up a check for $6,000 and signed a document labeled “Work-Made-For-Hire Agreement” that stated in its entirety: “I understand and agree that I have prepared the screenplay, ‘Anticipatory Repudiation,’ as a work made for hire under the federal Copyright Act of 1976. Pursuant to this law, OGS TV i</w:t>
      </w:r>
      <w:r w:rsidR="00A93230">
        <w:rPr>
          <w:rFonts w:ascii="Times New Roman" w:hAnsi="Times New Roman" w:cs="Times New Roman"/>
          <w:sz w:val="24"/>
          <w:szCs w:val="24"/>
        </w:rPr>
        <w:t>s the author of this screenplay</w:t>
      </w:r>
      <w:r w:rsidR="00FF4E5E">
        <w:rPr>
          <w:rFonts w:ascii="Times New Roman" w:hAnsi="Times New Roman" w:cs="Times New Roman"/>
          <w:sz w:val="24"/>
          <w:szCs w:val="24"/>
        </w:rPr>
        <w:t>.</w:t>
      </w:r>
      <w:r w:rsidR="00CA5D12" w:rsidRPr="00CA5D12">
        <w:rPr>
          <w:rFonts w:ascii="Times New Roman" w:hAnsi="Times New Roman" w:cs="Times New Roman"/>
          <w:sz w:val="24"/>
          <w:szCs w:val="24"/>
        </w:rPr>
        <w:t>”</w:t>
      </w:r>
      <w:r w:rsidR="00A93230">
        <w:rPr>
          <w:rFonts w:ascii="Times New Roman" w:hAnsi="Times New Roman" w:cs="Times New Roman"/>
          <w:sz w:val="24"/>
          <w:szCs w:val="24"/>
        </w:rPr>
        <w:t xml:space="preserve"> (</w:t>
      </w:r>
      <w:r w:rsidR="00A93230">
        <w:rPr>
          <w:rFonts w:ascii="Times New Roman" w:hAnsi="Times New Roman" w:cs="Times New Roman"/>
          <w:i/>
          <w:sz w:val="24"/>
          <w:szCs w:val="24"/>
        </w:rPr>
        <w:t>Id.</w:t>
      </w:r>
      <w:r w:rsidR="00FF4E5E">
        <w:rPr>
          <w:rFonts w:ascii="Times New Roman" w:hAnsi="Times New Roman" w:cs="Times New Roman"/>
          <w:sz w:val="24"/>
          <w:szCs w:val="24"/>
        </w:rPr>
        <w:t xml:space="preserve"> ¶ 24.)</w:t>
      </w:r>
      <w:r w:rsidR="00CA5D12">
        <w:rPr>
          <w:rFonts w:ascii="Times New Roman" w:hAnsi="Times New Roman" w:cs="Times New Roman"/>
          <w:sz w:val="24"/>
          <w:szCs w:val="24"/>
        </w:rPr>
        <w:t xml:space="preserve"> Dave Nelson also signed the agreement</w:t>
      </w:r>
      <w:r>
        <w:rPr>
          <w:rFonts w:ascii="Times New Roman" w:hAnsi="Times New Roman" w:cs="Times New Roman"/>
          <w:sz w:val="24"/>
          <w:szCs w:val="24"/>
        </w:rPr>
        <w:t xml:space="preserve"> on behalf of OGS</w:t>
      </w:r>
      <w:r w:rsidR="00FF4E5E">
        <w:rPr>
          <w:rFonts w:ascii="Times New Roman" w:hAnsi="Times New Roman" w:cs="Times New Roman"/>
          <w:sz w:val="24"/>
          <w:szCs w:val="24"/>
        </w:rPr>
        <w:t>.</w:t>
      </w:r>
      <w:r w:rsidR="00A93230">
        <w:rPr>
          <w:rFonts w:ascii="Times New Roman" w:hAnsi="Times New Roman" w:cs="Times New Roman"/>
          <w:sz w:val="24"/>
          <w:szCs w:val="24"/>
        </w:rPr>
        <w:t xml:space="preserve"> (</w:t>
      </w:r>
      <w:r w:rsidR="00A93230">
        <w:rPr>
          <w:rFonts w:ascii="Times New Roman" w:hAnsi="Times New Roman" w:cs="Times New Roman"/>
          <w:i/>
          <w:sz w:val="24"/>
          <w:szCs w:val="24"/>
        </w:rPr>
        <w:t>Id.</w:t>
      </w:r>
      <w:r w:rsidR="00A93230">
        <w:rPr>
          <w:rFonts w:ascii="Times New Roman" w:hAnsi="Times New Roman" w:cs="Times New Roman"/>
          <w:sz w:val="24"/>
          <w:szCs w:val="24"/>
        </w:rPr>
        <w:t xml:space="preserve"> ¶ 25</w:t>
      </w:r>
      <w:r w:rsidR="00FF4E5E">
        <w:rPr>
          <w:rFonts w:ascii="Times New Roman" w:hAnsi="Times New Roman" w:cs="Times New Roman"/>
          <w:sz w:val="24"/>
          <w:szCs w:val="24"/>
        </w:rPr>
        <w:t>.</w:t>
      </w:r>
      <w:r w:rsidR="00A93230">
        <w:rPr>
          <w:rFonts w:ascii="Times New Roman" w:hAnsi="Times New Roman" w:cs="Times New Roman"/>
          <w:sz w:val="24"/>
          <w:szCs w:val="24"/>
        </w:rPr>
        <w:t>)</w:t>
      </w:r>
    </w:p>
    <w:p w14:paraId="2A2F9091" w14:textId="77777777" w:rsidR="00837916" w:rsidRDefault="00CA5D12" w:rsidP="0046656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A</w:t>
      </w:r>
      <w:r w:rsidR="007220CF">
        <w:rPr>
          <w:rFonts w:ascii="Times New Roman" w:hAnsi="Times New Roman" w:cs="Times New Roman"/>
          <w:sz w:val="24"/>
          <w:szCs w:val="24"/>
        </w:rPr>
        <w:t xml:space="preserve">round August 2, 2010, </w:t>
      </w:r>
      <w:r w:rsidR="0010020F">
        <w:rPr>
          <w:rFonts w:ascii="Times New Roman" w:hAnsi="Times New Roman" w:cs="Times New Roman"/>
          <w:sz w:val="24"/>
          <w:szCs w:val="24"/>
        </w:rPr>
        <w:t>Lime and Tiny</w:t>
      </w:r>
      <w:r w:rsidR="007220CF">
        <w:rPr>
          <w:rFonts w:ascii="Times New Roman" w:hAnsi="Times New Roman" w:cs="Times New Roman"/>
          <w:sz w:val="24"/>
          <w:szCs w:val="24"/>
        </w:rPr>
        <w:t>TV</w:t>
      </w:r>
      <w:r>
        <w:rPr>
          <w:rFonts w:ascii="Times New Roman" w:hAnsi="Times New Roman" w:cs="Times New Roman"/>
          <w:sz w:val="24"/>
          <w:szCs w:val="24"/>
        </w:rPr>
        <w:t xml:space="preserve">, working in concert, created a new television series entitled </w:t>
      </w:r>
      <w:r>
        <w:rPr>
          <w:rFonts w:ascii="Times New Roman" w:hAnsi="Times New Roman" w:cs="Times New Roman"/>
          <w:i/>
          <w:sz w:val="24"/>
          <w:szCs w:val="24"/>
        </w:rPr>
        <w:t>The Tin Can</w:t>
      </w:r>
      <w:r w:rsidR="00EC2BD2">
        <w:rPr>
          <w:rFonts w:ascii="Times New Roman" w:hAnsi="Times New Roman" w:cs="Times New Roman"/>
          <w:sz w:val="24"/>
          <w:szCs w:val="24"/>
        </w:rPr>
        <w:t>, for which they</w:t>
      </w:r>
      <w:r>
        <w:rPr>
          <w:rFonts w:ascii="Times New Roman" w:hAnsi="Times New Roman" w:cs="Times New Roman"/>
          <w:sz w:val="24"/>
          <w:szCs w:val="24"/>
        </w:rPr>
        <w:t xml:space="preserve"> produced a screenplay for its pilot episode, “The Love Below,” that copied in substantial part from </w:t>
      </w:r>
      <w:r w:rsidR="00EC2BD2">
        <w:rPr>
          <w:rFonts w:ascii="Times New Roman" w:hAnsi="Times New Roman" w:cs="Times New Roman"/>
          <w:sz w:val="24"/>
          <w:szCs w:val="24"/>
        </w:rPr>
        <w:t>OGS</w:t>
      </w:r>
      <w:r>
        <w:rPr>
          <w:rFonts w:ascii="Times New Roman" w:hAnsi="Times New Roman" w:cs="Times New Roman"/>
          <w:sz w:val="24"/>
          <w:szCs w:val="24"/>
        </w:rPr>
        <w:t>’s copyrighted screenplay without the k</w:t>
      </w:r>
      <w:r w:rsidR="00EC2BD2">
        <w:rPr>
          <w:rFonts w:ascii="Times New Roman" w:hAnsi="Times New Roman" w:cs="Times New Roman"/>
          <w:sz w:val="24"/>
          <w:szCs w:val="24"/>
        </w:rPr>
        <w:t>nowledge or consent of OGS</w:t>
      </w:r>
      <w:r w:rsidR="00FF4E5E">
        <w:rPr>
          <w:rFonts w:ascii="Times New Roman" w:hAnsi="Times New Roman" w:cs="Times New Roman"/>
          <w:sz w:val="24"/>
          <w:szCs w:val="24"/>
        </w:rPr>
        <w:t>.</w:t>
      </w:r>
      <w:r w:rsidR="0075299F">
        <w:rPr>
          <w:rFonts w:ascii="Times New Roman" w:hAnsi="Times New Roman" w:cs="Times New Roman"/>
          <w:sz w:val="24"/>
          <w:szCs w:val="24"/>
        </w:rPr>
        <w:t xml:space="preserve"> (</w:t>
      </w:r>
      <w:r w:rsidR="0075299F">
        <w:rPr>
          <w:rFonts w:ascii="Times New Roman" w:hAnsi="Times New Roman" w:cs="Times New Roman"/>
          <w:i/>
          <w:sz w:val="24"/>
          <w:szCs w:val="24"/>
        </w:rPr>
        <w:t>Id.</w:t>
      </w:r>
      <w:r w:rsidR="0075299F">
        <w:rPr>
          <w:rFonts w:ascii="Times New Roman" w:hAnsi="Times New Roman" w:cs="Times New Roman"/>
          <w:sz w:val="24"/>
          <w:szCs w:val="24"/>
        </w:rPr>
        <w:t xml:space="preserve"> ¶¶ 27-28</w:t>
      </w:r>
      <w:r w:rsidR="00FF4E5E">
        <w:rPr>
          <w:rFonts w:ascii="Times New Roman" w:hAnsi="Times New Roman" w:cs="Times New Roman"/>
          <w:sz w:val="24"/>
          <w:szCs w:val="24"/>
        </w:rPr>
        <w:t>.</w:t>
      </w:r>
      <w:r w:rsidR="0075299F">
        <w:rPr>
          <w:rFonts w:ascii="Times New Roman" w:hAnsi="Times New Roman" w:cs="Times New Roman"/>
          <w:sz w:val="24"/>
          <w:szCs w:val="24"/>
        </w:rPr>
        <w:t>)</w:t>
      </w:r>
      <w:r>
        <w:rPr>
          <w:rFonts w:ascii="Times New Roman" w:hAnsi="Times New Roman" w:cs="Times New Roman"/>
          <w:sz w:val="24"/>
          <w:szCs w:val="24"/>
        </w:rPr>
        <w:t xml:space="preserve"> </w:t>
      </w:r>
      <w:r w:rsidR="00EC2BD2">
        <w:rPr>
          <w:rFonts w:ascii="Times New Roman" w:hAnsi="Times New Roman" w:cs="Times New Roman"/>
          <w:sz w:val="24"/>
          <w:szCs w:val="24"/>
        </w:rPr>
        <w:t>On Septemb</w:t>
      </w:r>
      <w:r w:rsidR="0010020F">
        <w:rPr>
          <w:rFonts w:ascii="Times New Roman" w:hAnsi="Times New Roman" w:cs="Times New Roman"/>
          <w:sz w:val="24"/>
          <w:szCs w:val="24"/>
        </w:rPr>
        <w:t>er 7, 2010, Lime and Tiny</w:t>
      </w:r>
      <w:r w:rsidR="00EC2BD2">
        <w:rPr>
          <w:rFonts w:ascii="Times New Roman" w:hAnsi="Times New Roman" w:cs="Times New Roman"/>
          <w:sz w:val="24"/>
          <w:szCs w:val="24"/>
        </w:rPr>
        <w:t>TV</w:t>
      </w:r>
      <w:r w:rsidRPr="00CA5D12">
        <w:rPr>
          <w:rFonts w:ascii="Times New Roman" w:hAnsi="Times New Roman" w:cs="Times New Roman"/>
          <w:sz w:val="24"/>
          <w:szCs w:val="24"/>
        </w:rPr>
        <w:t xml:space="preserve">, </w:t>
      </w:r>
      <w:r w:rsidR="00EC2BD2">
        <w:rPr>
          <w:rFonts w:ascii="Times New Roman" w:hAnsi="Times New Roman" w:cs="Times New Roman"/>
          <w:sz w:val="24"/>
          <w:szCs w:val="24"/>
        </w:rPr>
        <w:t>without the consent of OGS</w:t>
      </w:r>
      <w:r w:rsidRPr="00CA5D12">
        <w:rPr>
          <w:rFonts w:ascii="Times New Roman" w:hAnsi="Times New Roman" w:cs="Times New Roman"/>
          <w:sz w:val="24"/>
          <w:szCs w:val="24"/>
        </w:rPr>
        <w:t>, produced and performed the screenplay “The Love Below” on television, and have broadcast and displayed such performance over television to the public throughou</w:t>
      </w:r>
      <w:r w:rsidR="00BA14DD">
        <w:rPr>
          <w:rFonts w:ascii="Times New Roman" w:hAnsi="Times New Roman" w:cs="Times New Roman"/>
          <w:sz w:val="24"/>
          <w:szCs w:val="24"/>
        </w:rPr>
        <w:t>t the United States on</w:t>
      </w:r>
      <w:r w:rsidRPr="00CA5D12">
        <w:rPr>
          <w:rFonts w:ascii="Times New Roman" w:hAnsi="Times New Roman" w:cs="Times New Roman"/>
          <w:sz w:val="24"/>
          <w:szCs w:val="24"/>
        </w:rPr>
        <w:t xml:space="preserve"> TinyTV’s cable television channel, all for the sole pur</w:t>
      </w:r>
      <w:r w:rsidR="00BA14DD">
        <w:rPr>
          <w:rFonts w:ascii="Times New Roman" w:hAnsi="Times New Roman" w:cs="Times New Roman"/>
          <w:sz w:val="24"/>
          <w:szCs w:val="24"/>
        </w:rPr>
        <w:t>pose of profit for Lime and TinyTV</w:t>
      </w:r>
      <w:r w:rsidR="00FF4E5E">
        <w:rPr>
          <w:rFonts w:ascii="Times New Roman" w:hAnsi="Times New Roman" w:cs="Times New Roman"/>
          <w:sz w:val="24"/>
          <w:szCs w:val="24"/>
        </w:rPr>
        <w:t>.</w:t>
      </w:r>
      <w:r w:rsidR="0075299F">
        <w:rPr>
          <w:rFonts w:ascii="Times New Roman" w:hAnsi="Times New Roman" w:cs="Times New Roman"/>
          <w:sz w:val="24"/>
          <w:szCs w:val="24"/>
        </w:rPr>
        <w:t xml:space="preserve"> (</w:t>
      </w:r>
      <w:r w:rsidR="0075299F">
        <w:rPr>
          <w:rFonts w:ascii="Times New Roman" w:hAnsi="Times New Roman" w:cs="Times New Roman"/>
          <w:i/>
          <w:sz w:val="24"/>
          <w:szCs w:val="24"/>
        </w:rPr>
        <w:t>Id.</w:t>
      </w:r>
      <w:r w:rsidR="0075299F">
        <w:rPr>
          <w:rFonts w:ascii="Times New Roman" w:hAnsi="Times New Roman" w:cs="Times New Roman"/>
          <w:sz w:val="24"/>
          <w:szCs w:val="24"/>
        </w:rPr>
        <w:t xml:space="preserve"> ¶ 29</w:t>
      </w:r>
      <w:r w:rsidR="00FF4E5E">
        <w:rPr>
          <w:rFonts w:ascii="Times New Roman" w:hAnsi="Times New Roman" w:cs="Times New Roman"/>
          <w:sz w:val="24"/>
          <w:szCs w:val="24"/>
        </w:rPr>
        <w:t>.</w:t>
      </w:r>
      <w:r w:rsidR="0075299F">
        <w:rPr>
          <w:rFonts w:ascii="Times New Roman" w:hAnsi="Times New Roman" w:cs="Times New Roman"/>
          <w:sz w:val="24"/>
          <w:szCs w:val="24"/>
        </w:rPr>
        <w:t>)</w:t>
      </w:r>
      <w:r>
        <w:rPr>
          <w:rFonts w:ascii="Times New Roman" w:hAnsi="Times New Roman" w:cs="Times New Roman"/>
          <w:sz w:val="24"/>
          <w:szCs w:val="24"/>
        </w:rPr>
        <w:t xml:space="preserve"> </w:t>
      </w:r>
      <w:r w:rsidR="00BA14DD">
        <w:rPr>
          <w:rFonts w:ascii="Times New Roman" w:hAnsi="Times New Roman" w:cs="Times New Roman"/>
          <w:sz w:val="24"/>
          <w:szCs w:val="24"/>
        </w:rPr>
        <w:t>Lime and TinyTV</w:t>
      </w:r>
      <w:r w:rsidRPr="00CA5D12">
        <w:rPr>
          <w:rFonts w:ascii="Times New Roman" w:hAnsi="Times New Roman" w:cs="Times New Roman"/>
          <w:sz w:val="24"/>
          <w:szCs w:val="24"/>
        </w:rPr>
        <w:t>’</w:t>
      </w:r>
      <w:r w:rsidR="00BA14DD">
        <w:rPr>
          <w:rFonts w:ascii="Times New Roman" w:hAnsi="Times New Roman" w:cs="Times New Roman"/>
          <w:sz w:val="24"/>
          <w:szCs w:val="24"/>
        </w:rPr>
        <w:t>s actions have damaged OGS</w:t>
      </w:r>
      <w:r w:rsidRPr="00CA5D12">
        <w:rPr>
          <w:rFonts w:ascii="Times New Roman" w:hAnsi="Times New Roman" w:cs="Times New Roman"/>
          <w:sz w:val="24"/>
          <w:szCs w:val="24"/>
        </w:rPr>
        <w:t xml:space="preserve"> in the sum of $86,000, representing lost advertising revenue </w:t>
      </w:r>
      <w:r w:rsidR="00BA14DD">
        <w:rPr>
          <w:rFonts w:ascii="Times New Roman" w:hAnsi="Times New Roman" w:cs="Times New Roman"/>
          <w:sz w:val="24"/>
          <w:szCs w:val="24"/>
        </w:rPr>
        <w:t xml:space="preserve">and the lost value of </w:t>
      </w:r>
      <w:r w:rsidRPr="00CA5D12">
        <w:rPr>
          <w:rFonts w:ascii="Times New Roman" w:hAnsi="Times New Roman" w:cs="Times New Roman"/>
          <w:sz w:val="24"/>
          <w:szCs w:val="24"/>
        </w:rPr>
        <w:t>Lime’s fee for the screenplay</w:t>
      </w:r>
      <w:r w:rsidR="00FF4E5E">
        <w:rPr>
          <w:rFonts w:ascii="Times New Roman" w:hAnsi="Times New Roman" w:cs="Times New Roman"/>
          <w:sz w:val="24"/>
          <w:szCs w:val="24"/>
        </w:rPr>
        <w:t>.</w:t>
      </w:r>
      <w:r w:rsidR="0075299F">
        <w:rPr>
          <w:rFonts w:ascii="Times New Roman" w:hAnsi="Times New Roman" w:cs="Times New Roman"/>
          <w:sz w:val="24"/>
          <w:szCs w:val="24"/>
        </w:rPr>
        <w:t xml:space="preserve"> (</w:t>
      </w:r>
      <w:r w:rsidR="0075299F">
        <w:rPr>
          <w:rFonts w:ascii="Times New Roman" w:hAnsi="Times New Roman" w:cs="Times New Roman"/>
          <w:i/>
          <w:sz w:val="24"/>
          <w:szCs w:val="24"/>
        </w:rPr>
        <w:t>Id.</w:t>
      </w:r>
      <w:r w:rsidR="0075299F">
        <w:rPr>
          <w:rFonts w:ascii="Times New Roman" w:hAnsi="Times New Roman" w:cs="Times New Roman"/>
          <w:sz w:val="24"/>
          <w:szCs w:val="24"/>
        </w:rPr>
        <w:t xml:space="preserve"> ¶ 30</w:t>
      </w:r>
      <w:r w:rsidR="00FF4E5E">
        <w:rPr>
          <w:rFonts w:ascii="Times New Roman" w:hAnsi="Times New Roman" w:cs="Times New Roman"/>
          <w:sz w:val="24"/>
          <w:szCs w:val="24"/>
        </w:rPr>
        <w:t>.</w:t>
      </w:r>
      <w:r w:rsidR="0075299F">
        <w:rPr>
          <w:rFonts w:ascii="Times New Roman" w:hAnsi="Times New Roman" w:cs="Times New Roman"/>
          <w:sz w:val="24"/>
          <w:szCs w:val="24"/>
        </w:rPr>
        <w:t>)</w:t>
      </w:r>
      <w:r>
        <w:rPr>
          <w:rFonts w:ascii="Times New Roman" w:hAnsi="Times New Roman" w:cs="Times New Roman"/>
          <w:sz w:val="24"/>
          <w:szCs w:val="24"/>
        </w:rPr>
        <w:t xml:space="preserve"> </w:t>
      </w:r>
    </w:p>
    <w:p w14:paraId="7DC9E316" w14:textId="77777777" w:rsidR="00C93D67" w:rsidRPr="00DD4B51" w:rsidRDefault="00C93D67" w:rsidP="00C93D67">
      <w:pPr>
        <w:spacing w:line="480" w:lineRule="auto"/>
        <w:jc w:val="center"/>
        <w:rPr>
          <w:rFonts w:ascii="Times New Roman" w:hAnsi="Times New Roman" w:cs="Times New Roman"/>
          <w:b/>
          <w:sz w:val="24"/>
          <w:szCs w:val="24"/>
          <w:u w:val="single"/>
        </w:rPr>
      </w:pPr>
      <w:r w:rsidRPr="00DD4B51">
        <w:rPr>
          <w:rFonts w:ascii="Times New Roman" w:hAnsi="Times New Roman" w:cs="Times New Roman"/>
          <w:b/>
          <w:sz w:val="24"/>
          <w:szCs w:val="24"/>
          <w:u w:val="single"/>
        </w:rPr>
        <w:lastRenderedPageBreak/>
        <w:t>ARGUMENT</w:t>
      </w:r>
    </w:p>
    <w:p w14:paraId="4519D015" w14:textId="77777777" w:rsidR="00C93D67" w:rsidRPr="00DD4B51" w:rsidRDefault="00BB6B71" w:rsidP="00DD4B51">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Under Section 101 of the Copyright Act of 1976, w</w:t>
      </w:r>
      <w:r w:rsidR="00DD4B51">
        <w:rPr>
          <w:rFonts w:ascii="Times New Roman" w:hAnsi="Times New Roman" w:cs="Times New Roman"/>
          <w:sz w:val="24"/>
          <w:szCs w:val="24"/>
        </w:rPr>
        <w:t>here the parties already have an oral agreement, a work made for hire does not require a writing prior to the creation of the w</w:t>
      </w:r>
      <w:r w:rsidR="00C93D67" w:rsidRPr="00DD4B51">
        <w:rPr>
          <w:rFonts w:ascii="Times New Roman" w:hAnsi="Times New Roman" w:cs="Times New Roman"/>
          <w:sz w:val="24"/>
          <w:szCs w:val="24"/>
        </w:rPr>
        <w:t>ork</w:t>
      </w:r>
      <w:r w:rsidR="00DD4B51">
        <w:rPr>
          <w:rFonts w:ascii="Times New Roman" w:hAnsi="Times New Roman" w:cs="Times New Roman"/>
          <w:sz w:val="24"/>
          <w:szCs w:val="24"/>
        </w:rPr>
        <w:t>. This fact is confirmed by the plain text of the statute (17 U.S.C. § 201), legislative history, policy arguments, and case</w:t>
      </w:r>
      <w:r w:rsidR="00B82015">
        <w:rPr>
          <w:rFonts w:ascii="Times New Roman" w:hAnsi="Times New Roman" w:cs="Times New Roman"/>
          <w:sz w:val="24"/>
          <w:szCs w:val="24"/>
        </w:rPr>
        <w:t xml:space="preserve"> law.</w:t>
      </w:r>
      <w:r w:rsidR="00C93D67" w:rsidRPr="00DD4B51">
        <w:rPr>
          <w:rFonts w:ascii="Times New Roman" w:hAnsi="Times New Roman" w:cs="Times New Roman"/>
          <w:sz w:val="24"/>
          <w:szCs w:val="24"/>
        </w:rPr>
        <w:t xml:space="preserve"> </w:t>
      </w:r>
    </w:p>
    <w:p w14:paraId="0A5090AC" w14:textId="77777777" w:rsidR="002211E1" w:rsidRPr="006212D6" w:rsidRDefault="002211E1" w:rsidP="00C93D67">
      <w:pPr>
        <w:spacing w:after="0" w:line="480" w:lineRule="auto"/>
        <w:rPr>
          <w:rFonts w:ascii="Times New Roman" w:hAnsi="Times New Roman" w:cs="Times New Roman"/>
          <w:b/>
          <w:sz w:val="24"/>
          <w:szCs w:val="24"/>
          <w:u w:val="single"/>
        </w:rPr>
      </w:pPr>
    </w:p>
    <w:p w14:paraId="4FCABE32" w14:textId="77777777" w:rsidR="00C93D67" w:rsidRPr="006212D6" w:rsidRDefault="00C93D67" w:rsidP="00C93D67">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b/>
          <w:sz w:val="24"/>
          <w:szCs w:val="24"/>
        </w:rPr>
        <w:t xml:space="preserve">The Plain Text of the Copyright Act of </w:t>
      </w:r>
      <w:r w:rsidR="004700D4">
        <w:rPr>
          <w:rFonts w:ascii="Times New Roman" w:hAnsi="Times New Roman" w:cs="Times New Roman"/>
          <w:b/>
          <w:sz w:val="24"/>
          <w:szCs w:val="24"/>
        </w:rPr>
        <w:t>1976 Place</w:t>
      </w:r>
      <w:r w:rsidR="00A20EAF">
        <w:rPr>
          <w:rFonts w:ascii="Times New Roman" w:hAnsi="Times New Roman" w:cs="Times New Roman"/>
          <w:b/>
          <w:sz w:val="24"/>
          <w:szCs w:val="24"/>
        </w:rPr>
        <w:t>s No Temporal Restriction on the Writing Requirement</w:t>
      </w:r>
      <w:r w:rsidR="004700D4">
        <w:rPr>
          <w:rFonts w:ascii="Times New Roman" w:hAnsi="Times New Roman" w:cs="Times New Roman"/>
          <w:b/>
          <w:sz w:val="24"/>
          <w:szCs w:val="24"/>
        </w:rPr>
        <w:t xml:space="preserve"> of Section 101</w:t>
      </w:r>
    </w:p>
    <w:p w14:paraId="2FEF6858" w14:textId="77777777" w:rsidR="00832977" w:rsidRDefault="00A20EAF" w:rsidP="00C93D6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According to the</w:t>
      </w:r>
      <w:r w:rsidR="00C93D67">
        <w:rPr>
          <w:rFonts w:ascii="Times New Roman" w:hAnsi="Times New Roman" w:cs="Times New Roman"/>
          <w:sz w:val="24"/>
          <w:szCs w:val="24"/>
        </w:rPr>
        <w:t xml:space="preserve"> plain text of the Copyright Act of 1</w:t>
      </w:r>
      <w:r>
        <w:rPr>
          <w:rFonts w:ascii="Times New Roman" w:hAnsi="Times New Roman" w:cs="Times New Roman"/>
          <w:sz w:val="24"/>
          <w:szCs w:val="24"/>
        </w:rPr>
        <w:t xml:space="preserve">976, a </w:t>
      </w:r>
      <w:r w:rsidR="00C93D67">
        <w:rPr>
          <w:rFonts w:ascii="Times New Roman" w:hAnsi="Times New Roman" w:cs="Times New Roman"/>
          <w:sz w:val="24"/>
          <w:szCs w:val="24"/>
        </w:rPr>
        <w:t xml:space="preserve">work-made-for-hire does not require a written agreement prior to the creation of the work when the parties have a prior oral agreement. </w:t>
      </w:r>
      <w:r w:rsidR="00832977">
        <w:rPr>
          <w:rFonts w:ascii="Times New Roman" w:hAnsi="Times New Roman" w:cs="Times New Roman"/>
          <w:sz w:val="24"/>
          <w:szCs w:val="24"/>
        </w:rPr>
        <w:t xml:space="preserve">This is apparent for two reasons: (1) the plain text simply does not contain a temporal restriction; and (2) Congress used a temporal restriction in other parts of the statute, establishing that Congress knows how to impose a temporal requirement when it wants to. </w:t>
      </w:r>
    </w:p>
    <w:p w14:paraId="0E82CC31" w14:textId="77777777" w:rsidR="00C93D67" w:rsidRDefault="00832977" w:rsidP="00832977">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 requirement that a written agreement precede the creation of the work is not</w:t>
      </w:r>
      <w:r w:rsidR="00571F53">
        <w:rPr>
          <w:rFonts w:ascii="Times New Roman" w:hAnsi="Times New Roman" w:cs="Times New Roman"/>
          <w:sz w:val="24"/>
          <w:szCs w:val="24"/>
        </w:rPr>
        <w:t xml:space="preserve"> within the plain meaning of § 1</w:t>
      </w:r>
      <w:r>
        <w:rPr>
          <w:rFonts w:ascii="Times New Roman" w:hAnsi="Times New Roman" w:cs="Times New Roman"/>
          <w:sz w:val="24"/>
          <w:szCs w:val="24"/>
        </w:rPr>
        <w:t xml:space="preserve">01, because the statute simply does not mention a temporal restriction. </w:t>
      </w:r>
      <w:r w:rsidRPr="006212D6">
        <w:rPr>
          <w:rFonts w:ascii="Times New Roman" w:hAnsi="Times New Roman" w:cs="Times New Roman"/>
          <w:sz w:val="24"/>
          <w:szCs w:val="24"/>
        </w:rPr>
        <w:t>“[W]ith any case involving the interpretation of a statute, [the] analysis must</w:t>
      </w:r>
      <w:r>
        <w:rPr>
          <w:rFonts w:ascii="Times New Roman" w:hAnsi="Times New Roman" w:cs="Times New Roman"/>
          <w:sz w:val="24"/>
          <w:szCs w:val="24"/>
        </w:rPr>
        <w:t xml:space="preserve"> </w:t>
      </w:r>
      <w:r w:rsidRPr="006212D6">
        <w:rPr>
          <w:rFonts w:ascii="Times New Roman" w:hAnsi="Times New Roman" w:cs="Times New Roman"/>
          <w:sz w:val="24"/>
          <w:szCs w:val="24"/>
        </w:rPr>
        <w:t xml:space="preserve">begin with the language of the statute itself.” </w:t>
      </w:r>
      <w:r w:rsidRPr="006212D6">
        <w:rPr>
          <w:rFonts w:ascii="Times New Roman" w:hAnsi="Times New Roman" w:cs="Times New Roman"/>
          <w:i/>
          <w:sz w:val="24"/>
          <w:szCs w:val="24"/>
        </w:rPr>
        <w:t>Touche Ross &amp; Co. v. Redington</w:t>
      </w:r>
      <w:r w:rsidRPr="006212D6">
        <w:rPr>
          <w:rFonts w:ascii="Times New Roman" w:hAnsi="Times New Roman" w:cs="Times New Roman"/>
          <w:sz w:val="24"/>
          <w:szCs w:val="24"/>
        </w:rPr>
        <w:t>,</w:t>
      </w:r>
      <w:r>
        <w:rPr>
          <w:rFonts w:ascii="Times New Roman" w:hAnsi="Times New Roman" w:cs="Times New Roman"/>
          <w:sz w:val="24"/>
          <w:szCs w:val="24"/>
        </w:rPr>
        <w:t xml:space="preserve"> </w:t>
      </w:r>
      <w:r w:rsidRPr="006212D6">
        <w:rPr>
          <w:rFonts w:ascii="Times New Roman" w:hAnsi="Times New Roman" w:cs="Times New Roman"/>
          <w:sz w:val="24"/>
          <w:szCs w:val="24"/>
        </w:rPr>
        <w:t>442 U.S. 560, 568 (1979).</w:t>
      </w:r>
      <w:r>
        <w:rPr>
          <w:rFonts w:ascii="Times New Roman" w:hAnsi="Times New Roman" w:cs="Times New Roman"/>
          <w:sz w:val="24"/>
          <w:szCs w:val="24"/>
        </w:rPr>
        <w:t xml:space="preserve"> “(The judicial) inquiry must cease if the statutory language is unambiguous” </w:t>
      </w:r>
      <w:r>
        <w:rPr>
          <w:rFonts w:ascii="Times New Roman" w:hAnsi="Times New Roman" w:cs="Times New Roman"/>
          <w:i/>
          <w:sz w:val="24"/>
          <w:szCs w:val="24"/>
        </w:rPr>
        <w:t xml:space="preserve">Robinson v. Shell Oil Co., </w:t>
      </w:r>
      <w:r>
        <w:rPr>
          <w:rFonts w:ascii="Times New Roman" w:hAnsi="Times New Roman" w:cs="Times New Roman"/>
          <w:sz w:val="24"/>
          <w:szCs w:val="24"/>
        </w:rPr>
        <w:t xml:space="preserve">519 U.S. 337, 340 (1997). </w:t>
      </w:r>
      <w:r w:rsidR="00C93D67" w:rsidRPr="006212D6">
        <w:rPr>
          <w:rFonts w:ascii="Times New Roman" w:hAnsi="Times New Roman" w:cs="Times New Roman"/>
          <w:sz w:val="24"/>
          <w:szCs w:val="24"/>
        </w:rPr>
        <w:t>A “work made for hire” is “… a work specially ordered or commissioned for use as a contribution to a collective work, as a part of a motion picture or other audiovisual work … if the parties expressly agree in a written instrument signed by them that the work shall be considered a work made for hire…” 17 U.S.C. § 101(2).</w:t>
      </w:r>
      <w:r w:rsidR="00C93D67">
        <w:rPr>
          <w:rFonts w:ascii="Times New Roman" w:hAnsi="Times New Roman" w:cs="Times New Roman"/>
          <w:sz w:val="24"/>
          <w:szCs w:val="24"/>
        </w:rPr>
        <w:t xml:space="preserve"> </w:t>
      </w:r>
      <w:r>
        <w:rPr>
          <w:rFonts w:ascii="Times New Roman" w:hAnsi="Times New Roman" w:cs="Times New Roman"/>
          <w:sz w:val="24"/>
          <w:szCs w:val="24"/>
        </w:rPr>
        <w:t xml:space="preserve">Because a temporal requirement is unambiguously absent from </w:t>
      </w:r>
      <w:r w:rsidR="00FA2C62">
        <w:rPr>
          <w:rFonts w:ascii="Times New Roman" w:hAnsi="Times New Roman" w:cs="Times New Roman"/>
          <w:sz w:val="24"/>
          <w:szCs w:val="24"/>
        </w:rPr>
        <w:t>the statute, the inquiry “must cease</w:t>
      </w:r>
      <w:r>
        <w:rPr>
          <w:rFonts w:ascii="Times New Roman" w:hAnsi="Times New Roman" w:cs="Times New Roman"/>
          <w:sz w:val="24"/>
          <w:szCs w:val="24"/>
        </w:rPr>
        <w:t>;</w:t>
      </w:r>
      <w:r w:rsidR="00FA2C62">
        <w:rPr>
          <w:rFonts w:ascii="Times New Roman" w:hAnsi="Times New Roman" w:cs="Times New Roman"/>
          <w:sz w:val="24"/>
          <w:szCs w:val="24"/>
        </w:rPr>
        <w:t>”</w:t>
      </w:r>
      <w:r>
        <w:rPr>
          <w:rFonts w:ascii="Times New Roman" w:hAnsi="Times New Roman" w:cs="Times New Roman"/>
          <w:sz w:val="24"/>
          <w:szCs w:val="24"/>
        </w:rPr>
        <w:t xml:space="preserve"> however, even </w:t>
      </w:r>
      <w:r>
        <w:rPr>
          <w:rFonts w:ascii="Times New Roman" w:hAnsi="Times New Roman" w:cs="Times New Roman"/>
          <w:sz w:val="24"/>
          <w:szCs w:val="24"/>
        </w:rPr>
        <w:lastRenderedPageBreak/>
        <w:t xml:space="preserve">if analysis of other parts of the statute were warranted, we would simply find more support for the same conclusion. </w:t>
      </w:r>
    </w:p>
    <w:p w14:paraId="4AE02D92" w14:textId="77777777" w:rsidR="00C93D67" w:rsidRDefault="00C93D67" w:rsidP="00C93D67">
      <w:pPr>
        <w:spacing w:after="0" w:line="480" w:lineRule="auto"/>
        <w:ind w:firstLine="720"/>
        <w:rPr>
          <w:rFonts w:ascii="Times New Roman" w:hAnsi="Times New Roman" w:cs="Times New Roman"/>
          <w:sz w:val="24"/>
        </w:rPr>
      </w:pPr>
      <w:r>
        <w:rPr>
          <w:rFonts w:ascii="Times New Roman" w:hAnsi="Times New Roman" w:cs="Times New Roman"/>
          <w:sz w:val="24"/>
          <w:szCs w:val="24"/>
        </w:rPr>
        <w:t>Other parts of the statute mention temporal requirements, such as 17 U.S.C.A. § 203(a)(4)</w:t>
      </w:r>
      <w:r w:rsidR="00FA2C62">
        <w:rPr>
          <w:rFonts w:ascii="Times New Roman" w:hAnsi="Times New Roman" w:cs="Times New Roman"/>
          <w:sz w:val="24"/>
          <w:szCs w:val="24"/>
        </w:rPr>
        <w:t xml:space="preserve"> and 17 U.S.C. §</w:t>
      </w:r>
      <w:r w:rsidR="00E301ED">
        <w:rPr>
          <w:rFonts w:ascii="Times New Roman" w:hAnsi="Times New Roman" w:cs="Times New Roman"/>
          <w:sz w:val="24"/>
          <w:szCs w:val="24"/>
        </w:rPr>
        <w:t xml:space="preserve"> </w:t>
      </w:r>
      <w:r w:rsidR="00FA2C62">
        <w:rPr>
          <w:rFonts w:ascii="Times New Roman" w:hAnsi="Times New Roman" w:cs="Times New Roman"/>
          <w:sz w:val="24"/>
          <w:szCs w:val="24"/>
        </w:rPr>
        <w:t>110(4)(B)(i-ii):</w:t>
      </w:r>
      <w:r>
        <w:rPr>
          <w:rFonts w:ascii="Times New Roman" w:hAnsi="Times New Roman" w:cs="Times New Roman"/>
          <w:sz w:val="24"/>
          <w:szCs w:val="24"/>
        </w:rPr>
        <w:t xml:space="preserve"> </w:t>
      </w:r>
      <w:r w:rsidR="00FA2C62">
        <w:rPr>
          <w:rFonts w:ascii="Times New Roman" w:hAnsi="Times New Roman" w:cs="Times New Roman"/>
          <w:sz w:val="24"/>
          <w:szCs w:val="24"/>
        </w:rPr>
        <w:t xml:space="preserve">“The termination shall be effected by serving </w:t>
      </w:r>
      <w:r w:rsidR="00FA2C62">
        <w:rPr>
          <w:rFonts w:ascii="Times New Roman" w:hAnsi="Times New Roman" w:cs="Times New Roman"/>
          <w:i/>
          <w:sz w:val="24"/>
          <w:szCs w:val="24"/>
        </w:rPr>
        <w:t xml:space="preserve">an advance notice in </w:t>
      </w:r>
      <w:r w:rsidR="00FA2C62" w:rsidRPr="00FA2C62">
        <w:rPr>
          <w:rFonts w:ascii="Times New Roman" w:hAnsi="Times New Roman" w:cs="Times New Roman"/>
          <w:i/>
          <w:sz w:val="24"/>
          <w:szCs w:val="24"/>
        </w:rPr>
        <w:t>writing</w:t>
      </w:r>
      <w:r w:rsidR="00FA2C62">
        <w:rPr>
          <w:rFonts w:ascii="Times New Roman" w:hAnsi="Times New Roman" w:cs="Times New Roman"/>
          <w:sz w:val="24"/>
          <w:szCs w:val="24"/>
        </w:rPr>
        <w:t>” 17 U.S.C.A.</w:t>
      </w:r>
      <w:r w:rsidR="00FA2C62" w:rsidRPr="00FA2C62">
        <w:rPr>
          <w:rFonts w:ascii="Times New Roman" w:hAnsi="Times New Roman" w:cs="Times New Roman"/>
          <w:sz w:val="24"/>
          <w:szCs w:val="24"/>
        </w:rPr>
        <w:t xml:space="preserve"> </w:t>
      </w:r>
      <w:r w:rsidR="00FA2C62">
        <w:rPr>
          <w:rFonts w:ascii="Times New Roman" w:hAnsi="Times New Roman" w:cs="Times New Roman"/>
          <w:sz w:val="24"/>
          <w:szCs w:val="24"/>
        </w:rPr>
        <w:t>§ 203(a)(4) (emphasis added); “</w:t>
      </w:r>
      <w:r w:rsidR="00E301ED">
        <w:rPr>
          <w:rFonts w:ascii="Times New Roman" w:hAnsi="Times New Roman" w:cs="Times New Roman"/>
          <w:sz w:val="24"/>
          <w:szCs w:val="24"/>
        </w:rPr>
        <w:t xml:space="preserve">the notice shall be in writing and signed by the copyright owner or such owner’s duly authorized agent; and the notice shall be served … </w:t>
      </w:r>
      <w:r w:rsidR="00E301ED">
        <w:rPr>
          <w:rFonts w:ascii="Times New Roman" w:hAnsi="Times New Roman" w:cs="Times New Roman"/>
          <w:i/>
          <w:sz w:val="24"/>
          <w:szCs w:val="24"/>
        </w:rPr>
        <w:t>at least seven days before the date of performance</w:t>
      </w:r>
      <w:r w:rsidR="00E301ED">
        <w:rPr>
          <w:rFonts w:ascii="Times New Roman" w:hAnsi="Times New Roman" w:cs="Times New Roman"/>
          <w:sz w:val="24"/>
          <w:szCs w:val="24"/>
        </w:rPr>
        <w:t xml:space="preserve">…” 17 U.S.C. § 110(4)(B)(i-ii) (emphasis added). </w:t>
      </w:r>
      <w:r w:rsidR="00FA2C62">
        <w:rPr>
          <w:rFonts w:ascii="Times New Roman" w:hAnsi="Times New Roman" w:cs="Times New Roman"/>
          <w:sz w:val="24"/>
          <w:szCs w:val="24"/>
        </w:rPr>
        <w:t xml:space="preserve"> </w:t>
      </w:r>
      <w:r w:rsidRPr="00FA2C62">
        <w:rPr>
          <w:rFonts w:ascii="Times New Roman" w:hAnsi="Times New Roman" w:cs="Times New Roman"/>
          <w:sz w:val="24"/>
          <w:szCs w:val="24"/>
        </w:rPr>
        <w:t>Therefore</w:t>
      </w:r>
      <w:r>
        <w:rPr>
          <w:rFonts w:ascii="Times New Roman" w:hAnsi="Times New Roman" w:cs="Times New Roman"/>
          <w:sz w:val="24"/>
          <w:szCs w:val="24"/>
        </w:rPr>
        <w:t xml:space="preserve">, Congress knows how to impose a temporal restriction when it intends to do so. </w:t>
      </w:r>
      <w:r w:rsidRPr="00DC37BA">
        <w:rPr>
          <w:rFonts w:ascii="Times New Roman" w:hAnsi="Times New Roman" w:cs="Times New Roman"/>
          <w:sz w:val="24"/>
        </w:rPr>
        <w:t>“</w:t>
      </w:r>
      <w:r>
        <w:rPr>
          <w:rFonts w:ascii="Times New Roman" w:hAnsi="Times New Roman" w:cs="Times New Roman"/>
          <w:sz w:val="24"/>
        </w:rPr>
        <w:t xml:space="preserve">Where Congress </w:t>
      </w:r>
      <w:r w:rsidRPr="00DC37BA">
        <w:rPr>
          <w:rFonts w:ascii="Times New Roman" w:hAnsi="Times New Roman" w:cs="Times New Roman"/>
          <w:sz w:val="24"/>
        </w:rPr>
        <w:t xml:space="preserve">includes particular language in one section of a statute but omits it in another section of the same Act, it is generally presumed that </w:t>
      </w:r>
      <w:r w:rsidRPr="00DC37BA">
        <w:rPr>
          <w:rStyle w:val="cosearchterm"/>
          <w:rFonts w:ascii="Times New Roman" w:hAnsi="Times New Roman" w:cs="Times New Roman"/>
          <w:sz w:val="24"/>
        </w:rPr>
        <w:t>Congress</w:t>
      </w:r>
      <w:r w:rsidRPr="00DC37BA">
        <w:rPr>
          <w:rFonts w:ascii="Times New Roman" w:hAnsi="Times New Roman" w:cs="Times New Roman"/>
          <w:sz w:val="24"/>
        </w:rPr>
        <w:t xml:space="preserve"> acts intentionally and purposely in the d</w:t>
      </w:r>
      <w:r>
        <w:rPr>
          <w:rFonts w:ascii="Times New Roman" w:hAnsi="Times New Roman" w:cs="Times New Roman"/>
          <w:sz w:val="24"/>
        </w:rPr>
        <w:t>isparate inclusion or exclusion</w:t>
      </w:r>
      <w:r w:rsidRPr="00DC37BA">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i/>
          <w:sz w:val="24"/>
        </w:rPr>
        <w:t>Hamdan v. Rumsfeld</w:t>
      </w:r>
      <w:r>
        <w:rPr>
          <w:rFonts w:ascii="Times New Roman" w:hAnsi="Times New Roman" w:cs="Times New Roman"/>
          <w:sz w:val="24"/>
        </w:rPr>
        <w:t xml:space="preserve">, 548 U.S. 548, 578 (2006) (citing </w:t>
      </w:r>
      <w:r>
        <w:rPr>
          <w:rFonts w:ascii="Times New Roman" w:hAnsi="Times New Roman" w:cs="Times New Roman"/>
          <w:i/>
          <w:sz w:val="24"/>
        </w:rPr>
        <w:t>Russello v. United States</w:t>
      </w:r>
      <w:r>
        <w:rPr>
          <w:rFonts w:ascii="Times New Roman" w:hAnsi="Times New Roman" w:cs="Times New Roman"/>
          <w:sz w:val="24"/>
        </w:rPr>
        <w:t>, 464 U.S. 16 (1953)).</w:t>
      </w:r>
    </w:p>
    <w:p w14:paraId="1541159B" w14:textId="77777777" w:rsidR="00F24D2E" w:rsidRDefault="00C93D67" w:rsidP="00C93D67">
      <w:pPr>
        <w:spacing w:after="0" w:line="480" w:lineRule="auto"/>
        <w:ind w:firstLine="720"/>
        <w:rPr>
          <w:rFonts w:ascii="Times New Roman" w:hAnsi="Times New Roman" w:cs="Times New Roman"/>
          <w:sz w:val="24"/>
        </w:rPr>
      </w:pPr>
      <w:r>
        <w:rPr>
          <w:rFonts w:ascii="Times New Roman" w:hAnsi="Times New Roman" w:cs="Times New Roman"/>
          <w:sz w:val="24"/>
        </w:rPr>
        <w:t>Although the plain text of the statute does not require a written agreement to pre</w:t>
      </w:r>
      <w:r w:rsidR="00A7260F">
        <w:rPr>
          <w:rFonts w:ascii="Times New Roman" w:hAnsi="Times New Roman" w:cs="Times New Roman"/>
          <w:sz w:val="24"/>
        </w:rPr>
        <w:t>cede the creation of the work,</w:t>
      </w:r>
      <w:r>
        <w:rPr>
          <w:rFonts w:ascii="Times New Roman" w:hAnsi="Times New Roman" w:cs="Times New Roman"/>
          <w:sz w:val="24"/>
        </w:rPr>
        <w:t xml:space="preserve"> </w:t>
      </w:r>
      <w:r w:rsidR="00A7260F">
        <w:rPr>
          <w:rFonts w:ascii="Times New Roman" w:hAnsi="Times New Roman" w:cs="Times New Roman"/>
          <w:sz w:val="24"/>
        </w:rPr>
        <w:t>Lime and TinyTV</w:t>
      </w:r>
      <w:r>
        <w:rPr>
          <w:rFonts w:ascii="Times New Roman" w:hAnsi="Times New Roman" w:cs="Times New Roman"/>
          <w:sz w:val="24"/>
        </w:rPr>
        <w:t xml:space="preserve"> may argue that our interpretation of § 201 renders § 204 superfluous; if </w:t>
      </w:r>
      <w:r w:rsidR="00F24D2E">
        <w:rPr>
          <w:rFonts w:ascii="Times New Roman" w:hAnsi="Times New Roman" w:cs="Times New Roman"/>
          <w:sz w:val="24"/>
        </w:rPr>
        <w:t>work-for-hire agreements do not have to</w:t>
      </w:r>
      <w:r>
        <w:rPr>
          <w:rFonts w:ascii="Times New Roman" w:hAnsi="Times New Roman" w:cs="Times New Roman"/>
          <w:sz w:val="24"/>
        </w:rPr>
        <w:t xml:space="preserve"> be executed pre-creation, then, </w:t>
      </w:r>
      <w:r w:rsidR="00A7260F">
        <w:rPr>
          <w:rFonts w:ascii="Times New Roman" w:hAnsi="Times New Roman" w:cs="Times New Roman"/>
          <w:sz w:val="24"/>
        </w:rPr>
        <w:t>Lime and TinyTV</w:t>
      </w:r>
      <w:r>
        <w:rPr>
          <w:rFonts w:ascii="Times New Roman" w:hAnsi="Times New Roman" w:cs="Times New Roman"/>
          <w:sz w:val="24"/>
        </w:rPr>
        <w:t xml:space="preserve"> may argue, they are transfers, which are governed separately under § 204. This argument fails </w:t>
      </w:r>
      <w:r w:rsidR="00F24D2E">
        <w:rPr>
          <w:rFonts w:ascii="Times New Roman" w:hAnsi="Times New Roman" w:cs="Times New Roman"/>
          <w:sz w:val="24"/>
        </w:rPr>
        <w:t>for two reasons: (1) there are multiple rights attached to copyrights and no requirement that the same method be used to transfer each right; and (2) there is a distinction between the writing requirement of §</w:t>
      </w:r>
      <w:r w:rsidR="00571F53">
        <w:rPr>
          <w:rFonts w:ascii="Times New Roman" w:hAnsi="Times New Roman" w:cs="Times New Roman"/>
          <w:sz w:val="24"/>
        </w:rPr>
        <w:t xml:space="preserve"> 2</w:t>
      </w:r>
      <w:r w:rsidR="00F24D2E">
        <w:rPr>
          <w:rFonts w:ascii="Times New Roman" w:hAnsi="Times New Roman" w:cs="Times New Roman"/>
          <w:sz w:val="24"/>
        </w:rPr>
        <w:t xml:space="preserve">01 and § 204. </w:t>
      </w:r>
    </w:p>
    <w:p w14:paraId="7CE68D6F" w14:textId="77777777" w:rsidR="00F24D2E" w:rsidRDefault="00F24D2E" w:rsidP="00F24D2E">
      <w:pPr>
        <w:spacing w:after="0" w:line="480" w:lineRule="auto"/>
        <w:ind w:firstLine="720"/>
        <w:rPr>
          <w:rFonts w:ascii="Times New Roman" w:hAnsi="Times New Roman" w:cs="Times New Roman"/>
          <w:sz w:val="24"/>
        </w:rPr>
      </w:pPr>
      <w:r>
        <w:rPr>
          <w:rFonts w:ascii="Times New Roman" w:hAnsi="Times New Roman" w:cs="Times New Roman"/>
          <w:sz w:val="24"/>
        </w:rPr>
        <w:t>T</w:t>
      </w:r>
      <w:r w:rsidR="00C93D67">
        <w:rPr>
          <w:rFonts w:ascii="Times New Roman" w:hAnsi="Times New Roman" w:cs="Times New Roman"/>
          <w:sz w:val="24"/>
        </w:rPr>
        <w:t xml:space="preserve">he Copyright Act of 1976 provides that there are multiple rights attached to copyrights, such as the right to reproduce, prepare derivative works, distribute, perform, and display copyrighted works. 17 U.S.C.A. § 106. The method of transferring one right need not exactly replicate the method of transferring another; therefore, our interpretation of § 201 need not </w:t>
      </w:r>
      <w:r w:rsidR="00C93D67">
        <w:rPr>
          <w:rFonts w:ascii="Times New Roman" w:hAnsi="Times New Roman" w:cs="Times New Roman"/>
          <w:sz w:val="24"/>
        </w:rPr>
        <w:lastRenderedPageBreak/>
        <w:t>render § 204 superfluous.</w:t>
      </w:r>
      <w:r>
        <w:rPr>
          <w:rFonts w:ascii="Times New Roman" w:hAnsi="Times New Roman" w:cs="Times New Roman"/>
          <w:sz w:val="24"/>
        </w:rPr>
        <w:t xml:space="preserve"> </w:t>
      </w:r>
      <w:r w:rsidR="00C93D67">
        <w:rPr>
          <w:rFonts w:ascii="Times New Roman" w:hAnsi="Times New Roman" w:cs="Times New Roman"/>
          <w:sz w:val="24"/>
        </w:rPr>
        <w:t xml:space="preserve">For instance, a work-made-for-hire under § 201 makes the hiring party the owner </w:t>
      </w:r>
      <w:r w:rsidR="00C93D67">
        <w:rPr>
          <w:rFonts w:ascii="Times New Roman" w:hAnsi="Times New Roman" w:cs="Times New Roman"/>
          <w:i/>
          <w:sz w:val="24"/>
        </w:rPr>
        <w:t xml:space="preserve">and </w:t>
      </w:r>
      <w:r w:rsidR="00C93D67">
        <w:rPr>
          <w:rFonts w:ascii="Times New Roman" w:hAnsi="Times New Roman" w:cs="Times New Roman"/>
          <w:sz w:val="24"/>
        </w:rPr>
        <w:t xml:space="preserve">the author of the work, while a transfer under § 204 conveys only an ownership interest in the copyright, keeping authorship with the transferor. </w:t>
      </w:r>
      <w:r w:rsidR="00597ECB">
        <w:rPr>
          <w:rFonts w:ascii="Times New Roman" w:hAnsi="Times New Roman" w:cs="Times New Roman"/>
          <w:i/>
          <w:sz w:val="24"/>
        </w:rPr>
        <w:t>Playboy Enter.</w:t>
      </w:r>
      <w:r w:rsidR="00C93D67">
        <w:rPr>
          <w:rFonts w:ascii="Times New Roman" w:hAnsi="Times New Roman" w:cs="Times New Roman"/>
          <w:i/>
          <w:sz w:val="24"/>
        </w:rPr>
        <w:t>, Inc. v. Dumas</w:t>
      </w:r>
      <w:r w:rsidR="00C93D67">
        <w:rPr>
          <w:rFonts w:ascii="Times New Roman" w:hAnsi="Times New Roman" w:cs="Times New Roman"/>
          <w:sz w:val="24"/>
        </w:rPr>
        <w:t xml:space="preserve">, 53 F.3d 549, 558 (1995) (argument presented by Playboy; the court did not confirm or refute its validity). Therefore, § 204 may allow transfer of less than full rights, whereas § 201 grants the hiring party all the rights under the Copyright Act. </w:t>
      </w:r>
    </w:p>
    <w:p w14:paraId="33CCC905" w14:textId="77777777" w:rsidR="00597ECB" w:rsidRDefault="00C93D67" w:rsidP="00597ECB">
      <w:pPr>
        <w:spacing w:line="480" w:lineRule="auto"/>
        <w:ind w:firstLine="720"/>
        <w:rPr>
          <w:rFonts w:ascii="Times New Roman" w:hAnsi="Times New Roman" w:cs="Times New Roman"/>
          <w:sz w:val="24"/>
        </w:rPr>
      </w:pPr>
      <w:r>
        <w:rPr>
          <w:rFonts w:ascii="Times New Roman" w:hAnsi="Times New Roman" w:cs="Times New Roman"/>
          <w:sz w:val="24"/>
        </w:rPr>
        <w:t xml:space="preserve">An additional distinction between § 201 and § 204 concerns the signing requirement. “A writing executed after the work’s creation that confirms a prior agreement may suffice but it must mention a “work made for hire” relationship and </w:t>
      </w:r>
      <w:r w:rsidRPr="003F7958">
        <w:rPr>
          <w:rFonts w:ascii="Times New Roman" w:hAnsi="Times New Roman" w:cs="Times New Roman"/>
          <w:i/>
          <w:sz w:val="24"/>
        </w:rPr>
        <w:t>must be signed by both parties</w:t>
      </w:r>
      <w:r>
        <w:rPr>
          <w:rFonts w:ascii="Times New Roman" w:hAnsi="Times New Roman" w:cs="Times New Roman"/>
          <w:sz w:val="24"/>
        </w:rPr>
        <w:t xml:space="preserve">. By contrast, an assignment of a copyright requires a writing signed </w:t>
      </w:r>
      <w:r w:rsidRPr="003F7958">
        <w:rPr>
          <w:rFonts w:ascii="Times New Roman" w:hAnsi="Times New Roman" w:cs="Times New Roman"/>
          <w:i/>
          <w:sz w:val="24"/>
        </w:rPr>
        <w:t>only by the grantor</w:t>
      </w:r>
      <w:r>
        <w:rPr>
          <w:rFonts w:ascii="Times New Roman" w:hAnsi="Times New Roman" w:cs="Times New Roman"/>
          <w:sz w:val="24"/>
        </w:rPr>
        <w:t xml:space="preserve">” </w:t>
      </w:r>
      <w:r>
        <w:rPr>
          <w:rFonts w:ascii="Times New Roman" w:hAnsi="Times New Roman" w:cs="Times New Roman"/>
          <w:i/>
          <w:sz w:val="24"/>
        </w:rPr>
        <w:t>Homeowner Options for Massachusetts Elders, Inc. v. Brookline Bancorp, Inc.</w:t>
      </w:r>
      <w:r>
        <w:rPr>
          <w:rFonts w:ascii="Times New Roman" w:hAnsi="Times New Roman" w:cs="Times New Roman"/>
          <w:sz w:val="24"/>
        </w:rPr>
        <w:t xml:space="preserve"> 754 F.Supp.2d 2</w:t>
      </w:r>
      <w:r w:rsidR="00F24D2E">
        <w:rPr>
          <w:rFonts w:ascii="Times New Roman" w:hAnsi="Times New Roman" w:cs="Times New Roman"/>
          <w:sz w:val="24"/>
        </w:rPr>
        <w:t>01, 208 (2010) (emphasis added); 17 U.S.C. § 101(2);</w:t>
      </w:r>
      <w:r>
        <w:rPr>
          <w:rFonts w:ascii="Times New Roman" w:hAnsi="Times New Roman" w:cs="Times New Roman"/>
          <w:sz w:val="24"/>
        </w:rPr>
        <w:t xml:space="preserve"> 17 U.S.C. § 204(a).</w:t>
      </w:r>
    </w:p>
    <w:p w14:paraId="52489BA8" w14:textId="77777777" w:rsidR="007B0A2A" w:rsidRPr="007B0A2A" w:rsidRDefault="007B0A2A" w:rsidP="007B0A2A">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conclusion, the plain text of the Copyright Act of 1976 shows that a work-made-for-hire does not require a written agreement prior to the creation of the work when the parties have a prior oral agreement because: (1) the plain text simply does not contain a temporal restriction; and (2) Congress used a temporal restriction in other parts of the statute, establishing that Congress knows how to impose a temporal requirement when it wants to. </w:t>
      </w:r>
    </w:p>
    <w:p w14:paraId="468869E0" w14:textId="77777777" w:rsidR="00C93D67" w:rsidRPr="00747546" w:rsidRDefault="00C93D67" w:rsidP="00C93D67">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b/>
          <w:sz w:val="24"/>
          <w:szCs w:val="24"/>
        </w:rPr>
        <w:t xml:space="preserve">The Legislative History of the Copyright </w:t>
      </w:r>
      <w:r w:rsidR="00D84787">
        <w:rPr>
          <w:rFonts w:ascii="Times New Roman" w:hAnsi="Times New Roman" w:cs="Times New Roman"/>
          <w:b/>
          <w:sz w:val="24"/>
          <w:szCs w:val="24"/>
        </w:rPr>
        <w:t>Act of 1976 Confirms Congress Intended No Temporal Restriction on Section 101’s Writing Requirement</w:t>
      </w:r>
    </w:p>
    <w:p w14:paraId="7A529B26" w14:textId="77777777" w:rsidR="00146012" w:rsidRDefault="00D84787" w:rsidP="00146012">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w:t>
      </w:r>
      <w:r w:rsidR="00C93D67">
        <w:rPr>
          <w:rFonts w:ascii="Times New Roman" w:hAnsi="Times New Roman" w:cs="Times New Roman"/>
          <w:sz w:val="24"/>
          <w:szCs w:val="24"/>
        </w:rPr>
        <w:t xml:space="preserve">he legislative history of the </w:t>
      </w:r>
      <w:r>
        <w:rPr>
          <w:rFonts w:ascii="Times New Roman" w:hAnsi="Times New Roman" w:cs="Times New Roman"/>
          <w:sz w:val="24"/>
          <w:szCs w:val="24"/>
        </w:rPr>
        <w:t xml:space="preserve">Copyright Act further supports the fact that the statute requires no </w:t>
      </w:r>
      <w:r>
        <w:rPr>
          <w:rFonts w:ascii="Times New Roman" w:hAnsi="Times New Roman" w:cs="Times New Roman"/>
          <w:i/>
          <w:sz w:val="24"/>
          <w:szCs w:val="24"/>
        </w:rPr>
        <w:t>prior</w:t>
      </w:r>
      <w:r>
        <w:rPr>
          <w:rFonts w:ascii="Times New Roman" w:hAnsi="Times New Roman" w:cs="Times New Roman"/>
          <w:sz w:val="24"/>
          <w:szCs w:val="24"/>
        </w:rPr>
        <w:t xml:space="preserve"> writing to create a work made for hire</w:t>
      </w:r>
      <w:r w:rsidR="00C93D67">
        <w:rPr>
          <w:rFonts w:ascii="Times New Roman" w:hAnsi="Times New Roman" w:cs="Times New Roman"/>
          <w:sz w:val="24"/>
          <w:szCs w:val="24"/>
        </w:rPr>
        <w:t>. The current language of § 201(b) is the result of a lengthy negotiation and amendment process.</w:t>
      </w:r>
      <w:r w:rsidR="00A271F4">
        <w:rPr>
          <w:rFonts w:ascii="Times New Roman" w:hAnsi="Times New Roman" w:cs="Times New Roman"/>
          <w:sz w:val="24"/>
          <w:szCs w:val="24"/>
        </w:rPr>
        <w:t xml:space="preserve"> Staff of H. Comm. On the Judiciary, 89</w:t>
      </w:r>
      <w:r w:rsidR="00A271F4" w:rsidRPr="00A271F4">
        <w:rPr>
          <w:rFonts w:ascii="Times New Roman" w:hAnsi="Times New Roman" w:cs="Times New Roman"/>
          <w:sz w:val="24"/>
          <w:szCs w:val="24"/>
          <w:vertAlign w:val="superscript"/>
        </w:rPr>
        <w:t>th</w:t>
      </w:r>
      <w:r w:rsidR="00A271F4">
        <w:rPr>
          <w:rFonts w:ascii="Times New Roman" w:hAnsi="Times New Roman" w:cs="Times New Roman"/>
          <w:sz w:val="24"/>
          <w:szCs w:val="24"/>
        </w:rPr>
        <w:t xml:space="preserve"> Cong., Copyright Law Revision, Part 5 (Comm. Print 1965) (chronicling </w:t>
      </w:r>
      <w:r w:rsidR="00F14677">
        <w:rPr>
          <w:rFonts w:ascii="Times New Roman" w:hAnsi="Times New Roman" w:cs="Times New Roman"/>
          <w:sz w:val="24"/>
          <w:szCs w:val="24"/>
        </w:rPr>
        <w:t xml:space="preserve">a lengthy exchange of </w:t>
      </w:r>
      <w:r w:rsidR="00130F0D">
        <w:rPr>
          <w:rFonts w:ascii="Times New Roman" w:hAnsi="Times New Roman" w:cs="Times New Roman"/>
          <w:sz w:val="24"/>
          <w:szCs w:val="24"/>
        </w:rPr>
        <w:lastRenderedPageBreak/>
        <w:t>ideas resulting in a compromise designating the types of works worthy of ‘work for hire’</w:t>
      </w:r>
      <w:r w:rsidR="00146012">
        <w:rPr>
          <w:rFonts w:ascii="Times New Roman" w:hAnsi="Times New Roman" w:cs="Times New Roman"/>
          <w:sz w:val="24"/>
          <w:szCs w:val="24"/>
        </w:rPr>
        <w:t xml:space="preserve"> status</w:t>
      </w:r>
      <w:r w:rsidR="00F14677">
        <w:rPr>
          <w:rFonts w:ascii="Times New Roman" w:hAnsi="Times New Roman" w:cs="Times New Roman"/>
          <w:sz w:val="24"/>
          <w:szCs w:val="24"/>
        </w:rPr>
        <w:t>).</w:t>
      </w:r>
      <w:r w:rsidR="00C93D67">
        <w:rPr>
          <w:rFonts w:ascii="Times New Roman" w:hAnsi="Times New Roman" w:cs="Times New Roman"/>
          <w:sz w:val="24"/>
          <w:szCs w:val="24"/>
        </w:rPr>
        <w:t xml:space="preserve"> If Congress wanted to add a temporal requirement upon the conclusion of negotiations, it would have. “Strict adherence to the language and structure of the Act is particularly appropriate where, as here, a statute is the result of a series of carefully crafted compromises” </w:t>
      </w:r>
      <w:r w:rsidR="00C93D67">
        <w:rPr>
          <w:rFonts w:ascii="Times New Roman" w:hAnsi="Times New Roman" w:cs="Times New Roman"/>
          <w:i/>
          <w:sz w:val="24"/>
          <w:szCs w:val="24"/>
        </w:rPr>
        <w:t>Community for Creative Non-Violence v. Reid</w:t>
      </w:r>
      <w:r w:rsidR="00C93D67">
        <w:rPr>
          <w:rFonts w:ascii="Times New Roman" w:hAnsi="Times New Roman" w:cs="Times New Roman"/>
          <w:sz w:val="24"/>
          <w:szCs w:val="24"/>
        </w:rPr>
        <w:t xml:space="preserve">, 490 U.S. 730, 748 n. 14 (1989). </w:t>
      </w:r>
    </w:p>
    <w:p w14:paraId="4E170CC5" w14:textId="77777777" w:rsidR="00FB1752" w:rsidRPr="00130F0D" w:rsidRDefault="00F14677" w:rsidP="00130F0D">
      <w:pPr>
        <w:spacing w:after="0" w:line="480" w:lineRule="auto"/>
        <w:ind w:firstLine="720"/>
        <w:rPr>
          <w:rFonts w:ascii="Times New Roman" w:hAnsi="Times New Roman" w:cs="Times New Roman"/>
          <w:sz w:val="24"/>
        </w:rPr>
      </w:pPr>
      <w:r>
        <w:rPr>
          <w:rFonts w:ascii="Times New Roman" w:hAnsi="Times New Roman" w:cs="Times New Roman"/>
          <w:sz w:val="24"/>
          <w:szCs w:val="24"/>
        </w:rPr>
        <w:t>The absence of a prior writing requirement is supported by multiple unsuccessful attempts to amend § 101(2) to require a prior writing following the enactment of the Copyright Act of 1976. Legislation to this end was fruitlessly proposed by Senator Cochran in 1982, 1983, 1986, 1987 and 1989.</w:t>
      </w:r>
      <w:r w:rsidRPr="00F14677">
        <w:rPr>
          <w:rFonts w:ascii="Times New Roman" w:hAnsi="Times New Roman" w:cs="Times New Roman"/>
          <w:sz w:val="24"/>
        </w:rPr>
        <w:t xml:space="preserve"> S. 2044, 97th Cong., 2d Sess. (1982); S. 2138, 98th Cong., 1st Sess. (1983); S. 2330, 99th Cong., 2d Sess. (1986); S. 1253, 101st Cong., 1st Sess. (1989).</w:t>
      </w:r>
      <w:r w:rsidR="00364A19">
        <w:rPr>
          <w:rFonts w:ascii="Times New Roman" w:hAnsi="Times New Roman" w:cs="Times New Roman"/>
          <w:sz w:val="24"/>
        </w:rPr>
        <w:t xml:space="preserve"> Senator Cochran and his supporters in Congress argued that a prior writing requirement should be added to the Copyright Act </w:t>
      </w:r>
      <w:r w:rsidR="00FB1752">
        <w:rPr>
          <w:rFonts w:ascii="Times New Roman" w:hAnsi="Times New Roman" w:cs="Times New Roman"/>
          <w:i/>
          <w:sz w:val="24"/>
        </w:rPr>
        <w:t>specifically because</w:t>
      </w:r>
      <w:r w:rsidR="00364A19">
        <w:rPr>
          <w:rFonts w:ascii="Times New Roman" w:hAnsi="Times New Roman" w:cs="Times New Roman"/>
          <w:i/>
          <w:sz w:val="24"/>
        </w:rPr>
        <w:t xml:space="preserve"> </w:t>
      </w:r>
      <w:r w:rsidR="00364A19">
        <w:rPr>
          <w:rFonts w:ascii="Times New Roman" w:hAnsi="Times New Roman" w:cs="Times New Roman"/>
          <w:sz w:val="24"/>
        </w:rPr>
        <w:t xml:space="preserve">writings following the creation of a work made for hire </w:t>
      </w:r>
      <w:r w:rsidR="00364A19">
        <w:rPr>
          <w:rFonts w:ascii="Times New Roman" w:hAnsi="Times New Roman" w:cs="Times New Roman"/>
          <w:i/>
          <w:sz w:val="24"/>
        </w:rPr>
        <w:t>were common practice</w:t>
      </w:r>
      <w:r w:rsidR="00364A19">
        <w:rPr>
          <w:rFonts w:ascii="Times New Roman" w:hAnsi="Times New Roman" w:cs="Times New Roman"/>
          <w:sz w:val="24"/>
        </w:rPr>
        <w:t xml:space="preserve"> in the industry</w:t>
      </w:r>
      <w:r w:rsidR="00FB1752">
        <w:rPr>
          <w:rFonts w:ascii="Times New Roman" w:hAnsi="Times New Roman" w:cs="Times New Roman"/>
          <w:sz w:val="24"/>
        </w:rPr>
        <w:t xml:space="preserve"> under § 101(2). </w:t>
      </w:r>
      <w:r w:rsidR="00FB1752" w:rsidRPr="00FB1752">
        <w:rPr>
          <w:rStyle w:val="Emphasis"/>
          <w:rFonts w:ascii="Times New Roman" w:hAnsi="Times New Roman" w:cs="Times New Roman"/>
          <w:sz w:val="24"/>
        </w:rPr>
        <w:t>A Bill to Amend The Copyright Law Regarding Work for Hire: Hearing on S. 2044 Before the Comm. on the Judiciary, United States Senate,</w:t>
      </w:r>
      <w:r w:rsidR="00FB1752" w:rsidRPr="00FB1752">
        <w:rPr>
          <w:rFonts w:ascii="Times New Roman" w:hAnsi="Times New Roman" w:cs="Times New Roman"/>
          <w:sz w:val="24"/>
        </w:rPr>
        <w:t xml:space="preserve"> 97th Cong., 2d Sess. 1, 26 (1982) </w:t>
      </w:r>
      <w:r w:rsidR="00FB1752">
        <w:rPr>
          <w:rFonts w:ascii="Times New Roman" w:hAnsi="Times New Roman" w:cs="Times New Roman"/>
          <w:sz w:val="24"/>
        </w:rPr>
        <w:t xml:space="preserve">(citing the </w:t>
      </w:r>
      <w:r w:rsidR="00FB1752" w:rsidRPr="00FB1752">
        <w:rPr>
          <w:rFonts w:ascii="Times New Roman" w:hAnsi="Times New Roman" w:cs="Times New Roman"/>
          <w:sz w:val="24"/>
        </w:rPr>
        <w:t>New York Times</w:t>
      </w:r>
      <w:r w:rsidR="00FB1752">
        <w:rPr>
          <w:rFonts w:ascii="Times New Roman" w:hAnsi="Times New Roman" w:cs="Times New Roman"/>
          <w:sz w:val="24"/>
        </w:rPr>
        <w:t>’ routine</w:t>
      </w:r>
      <w:r w:rsidR="00FB1752" w:rsidRPr="00FB1752">
        <w:rPr>
          <w:rFonts w:ascii="Times New Roman" w:hAnsi="Times New Roman" w:cs="Times New Roman"/>
          <w:sz w:val="24"/>
        </w:rPr>
        <w:t xml:space="preserve"> use </w:t>
      </w:r>
      <w:r w:rsidR="00FB1752">
        <w:rPr>
          <w:rFonts w:ascii="Times New Roman" w:hAnsi="Times New Roman" w:cs="Times New Roman"/>
          <w:sz w:val="24"/>
        </w:rPr>
        <w:t xml:space="preserve">of </w:t>
      </w:r>
      <w:r w:rsidR="00FB1752" w:rsidRPr="00FB1752">
        <w:rPr>
          <w:rFonts w:ascii="Times New Roman" w:hAnsi="Times New Roman" w:cs="Times New Roman"/>
          <w:sz w:val="24"/>
        </w:rPr>
        <w:t>after-the-fact writings to confirm work for hire relationships with regular contributors)</w:t>
      </w:r>
      <w:r w:rsidR="00FB1752">
        <w:rPr>
          <w:rFonts w:ascii="Times New Roman" w:hAnsi="Times New Roman" w:cs="Times New Roman"/>
          <w:sz w:val="24"/>
        </w:rPr>
        <w:t>.</w:t>
      </w:r>
    </w:p>
    <w:p w14:paraId="6551C718" w14:textId="77777777" w:rsidR="002211E1" w:rsidRDefault="00A7260F" w:rsidP="00FA345A">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Lime and TinyTV</w:t>
      </w:r>
      <w:r w:rsidR="00C93D67">
        <w:rPr>
          <w:rFonts w:ascii="Times New Roman" w:hAnsi="Times New Roman" w:cs="Times New Roman"/>
          <w:sz w:val="24"/>
          <w:szCs w:val="24"/>
        </w:rPr>
        <w:t xml:space="preserve"> may appeal to Barbara Ringer’s comment from the transcript of the meeting on the 1964 revision bill, where she said “[i]t would not be considered a “work made for hire” if the contract were signed later on – after the work was written, for example.” This argument strengthens our case, however, as it is explicit proof that Congress deliberated the idea of a temporal requirement and chose not to include one in the statute. In addition, Barbara Ringer is not an elected member of Congress, and therefore does not represent the collective desire of any constituency in the American populace; she was consulted for her opinion only, and held no </w:t>
      </w:r>
      <w:r w:rsidR="00C93D67">
        <w:rPr>
          <w:rFonts w:ascii="Times New Roman" w:hAnsi="Times New Roman" w:cs="Times New Roman"/>
          <w:sz w:val="24"/>
          <w:szCs w:val="24"/>
        </w:rPr>
        <w:lastRenderedPageBreak/>
        <w:t xml:space="preserve">legislative power whatsoever. When it comes to legislative history, the statements of non-legislators rank almost dead last on the Court’s list of persuasive sources. </w:t>
      </w:r>
      <w:r w:rsidR="00C93D67" w:rsidRPr="00285A88">
        <w:rPr>
          <w:rFonts w:ascii="Times New Roman" w:hAnsi="Times New Roman" w:cs="Times New Roman"/>
          <w:sz w:val="24"/>
        </w:rPr>
        <w:t>William N. Eskridge, Jr.</w:t>
      </w:r>
      <w:r w:rsidR="00C93D67">
        <w:rPr>
          <w:rFonts w:ascii="Times New Roman" w:hAnsi="Times New Roman" w:cs="Times New Roman"/>
          <w:sz w:val="24"/>
          <w:szCs w:val="24"/>
        </w:rPr>
        <w:t xml:space="preserve">, </w:t>
      </w:r>
      <w:r w:rsidR="00C93D67">
        <w:rPr>
          <w:rFonts w:ascii="Times New Roman" w:hAnsi="Times New Roman" w:cs="Times New Roman"/>
          <w:i/>
          <w:sz w:val="24"/>
          <w:szCs w:val="24"/>
        </w:rPr>
        <w:t xml:space="preserve">The New Textualism, </w:t>
      </w:r>
      <w:r w:rsidR="00C93D67">
        <w:rPr>
          <w:rFonts w:ascii="Times New Roman" w:hAnsi="Times New Roman" w:cs="Times New Roman"/>
          <w:sz w:val="24"/>
          <w:szCs w:val="24"/>
        </w:rPr>
        <w:t xml:space="preserve">37 UCLS L. Rev. 621, 639-640 (1990). Even if she were a Congresswoman, it would make no difference, because where the plain meaning of a statute is clear, inconsistent legislative history cannot trump it. </w:t>
      </w:r>
      <w:r w:rsidR="00C93D67">
        <w:rPr>
          <w:rFonts w:ascii="Times New Roman" w:hAnsi="Times New Roman" w:cs="Times New Roman"/>
          <w:i/>
          <w:sz w:val="24"/>
          <w:szCs w:val="24"/>
        </w:rPr>
        <w:t xml:space="preserve">Qi-Zhuo v. Meissner, </w:t>
      </w:r>
      <w:r w:rsidR="00C93D67">
        <w:rPr>
          <w:rFonts w:ascii="Times New Roman" w:hAnsi="Times New Roman" w:cs="Times New Roman"/>
          <w:sz w:val="24"/>
          <w:szCs w:val="24"/>
        </w:rPr>
        <w:t>70 F.3d 136, 140 (1995).</w:t>
      </w:r>
    </w:p>
    <w:p w14:paraId="0D4FC248" w14:textId="77777777" w:rsidR="00146012" w:rsidRPr="00B23582" w:rsidRDefault="00146012" w:rsidP="00146012">
      <w:pPr>
        <w:spacing w:line="480" w:lineRule="auto"/>
        <w:rPr>
          <w:rFonts w:ascii="Times New Roman" w:hAnsi="Times New Roman" w:cs="Times New Roman"/>
          <w:sz w:val="24"/>
          <w:szCs w:val="24"/>
        </w:rPr>
      </w:pPr>
      <w:r>
        <w:rPr>
          <w:rFonts w:ascii="Times New Roman" w:hAnsi="Times New Roman" w:cs="Times New Roman"/>
          <w:sz w:val="24"/>
          <w:szCs w:val="24"/>
        </w:rPr>
        <w:tab/>
        <w:t>The Copyright Act’s history as a highly deliberated and debated bill provides that the absence of a prior writing requirement in the plain text of the statute is determinative. Subsequent attempts to amend the act to include a prior writing requirement confirms</w:t>
      </w:r>
      <w:r w:rsidR="00FA345A">
        <w:rPr>
          <w:rFonts w:ascii="Times New Roman" w:hAnsi="Times New Roman" w:cs="Times New Roman"/>
          <w:sz w:val="24"/>
          <w:szCs w:val="24"/>
        </w:rPr>
        <w:t xml:space="preserve"> that such a requirement does not exist in the current act – and the fact that those attempts were unsuccessful lends merit to the absence of such a requirement. The opinions of non-legislator Barbara Ringer do not change these facts and are entirely unpersuasive as a source of statutory interpretation – especially in the face of statutory clarity.</w:t>
      </w:r>
    </w:p>
    <w:p w14:paraId="47DD0079" w14:textId="77777777" w:rsidR="00C93D67" w:rsidRPr="004B336C" w:rsidRDefault="007C613E" w:rsidP="00C93D67">
      <w:pPr>
        <w:pStyle w:val="ListParagraph"/>
        <w:numPr>
          <w:ilvl w:val="0"/>
          <w:numId w:val="1"/>
        </w:num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Case Law Establishes That Where the Parties Have an Oral Agreement, a Writing After-the-Fact Satisfies </w:t>
      </w:r>
      <w:r w:rsidR="005415B8">
        <w:rPr>
          <w:rFonts w:ascii="Times New Roman" w:hAnsi="Times New Roman" w:cs="Times New Roman"/>
          <w:b/>
          <w:sz w:val="24"/>
          <w:szCs w:val="24"/>
        </w:rPr>
        <w:t>§ 101’s Writing Requirement</w:t>
      </w:r>
    </w:p>
    <w:p w14:paraId="04680444" w14:textId="77777777" w:rsidR="005E51F2" w:rsidRPr="001E25DE" w:rsidRDefault="005415B8" w:rsidP="0057097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Case law on point supports the validity of writings following the creation of a work when a prior oral agreement exists</w:t>
      </w:r>
      <w:r w:rsidR="00C93D67">
        <w:rPr>
          <w:rFonts w:ascii="Times New Roman" w:hAnsi="Times New Roman" w:cs="Times New Roman"/>
          <w:sz w:val="24"/>
          <w:szCs w:val="24"/>
        </w:rPr>
        <w:t xml:space="preserve">. </w:t>
      </w:r>
      <w:r w:rsidR="005E51F2">
        <w:rPr>
          <w:rFonts w:ascii="Times New Roman" w:hAnsi="Times New Roman" w:cs="Times New Roman"/>
          <w:sz w:val="24"/>
          <w:szCs w:val="24"/>
        </w:rPr>
        <w:t>The issue of a writing requirement in the Copyright Act of 1976 has been addressed by the Second, Seventh, and Ninth Circu</w:t>
      </w:r>
      <w:r w:rsidR="00BB68F9">
        <w:rPr>
          <w:rFonts w:ascii="Times New Roman" w:hAnsi="Times New Roman" w:cs="Times New Roman"/>
          <w:sz w:val="24"/>
          <w:szCs w:val="24"/>
        </w:rPr>
        <w:t>its, as well as by federal district courts in the</w:t>
      </w:r>
      <w:r w:rsidR="005E51F2">
        <w:rPr>
          <w:rFonts w:ascii="Times New Roman" w:hAnsi="Times New Roman" w:cs="Times New Roman"/>
          <w:sz w:val="24"/>
          <w:szCs w:val="24"/>
        </w:rPr>
        <w:t xml:space="preserve"> </w:t>
      </w:r>
      <w:r w:rsidR="000D0567">
        <w:rPr>
          <w:rFonts w:ascii="Times New Roman" w:hAnsi="Times New Roman" w:cs="Times New Roman"/>
          <w:sz w:val="24"/>
          <w:szCs w:val="24"/>
        </w:rPr>
        <w:t>District</w:t>
      </w:r>
      <w:r w:rsidR="003574C6">
        <w:rPr>
          <w:rFonts w:ascii="Times New Roman" w:hAnsi="Times New Roman" w:cs="Times New Roman"/>
          <w:sz w:val="24"/>
          <w:szCs w:val="24"/>
        </w:rPr>
        <w:t xml:space="preserve"> of Puerto Rico</w:t>
      </w:r>
      <w:r w:rsidR="005E51F2">
        <w:rPr>
          <w:rFonts w:ascii="Times New Roman" w:hAnsi="Times New Roman" w:cs="Times New Roman"/>
          <w:sz w:val="24"/>
          <w:szCs w:val="24"/>
        </w:rPr>
        <w:t>. The Second Circuit maintains that an after-the-fact writing is valid if it confirms a prior oral agreement.</w:t>
      </w:r>
      <w:r w:rsidR="005E51F2" w:rsidRPr="005E51F2">
        <w:rPr>
          <w:rFonts w:ascii="Times New Roman" w:hAnsi="Times New Roman" w:cs="Times New Roman"/>
          <w:i/>
          <w:sz w:val="24"/>
          <w:szCs w:val="24"/>
        </w:rPr>
        <w:t xml:space="preserve"> </w:t>
      </w:r>
      <w:r w:rsidR="005E51F2">
        <w:rPr>
          <w:rFonts w:ascii="Times New Roman" w:hAnsi="Times New Roman" w:cs="Times New Roman"/>
          <w:i/>
          <w:sz w:val="24"/>
          <w:szCs w:val="24"/>
        </w:rPr>
        <w:t>Playboy Enter.</w:t>
      </w:r>
      <w:r w:rsidR="005E51F2" w:rsidRPr="004B336C">
        <w:rPr>
          <w:rFonts w:ascii="Times New Roman" w:hAnsi="Times New Roman" w:cs="Times New Roman"/>
          <w:i/>
          <w:sz w:val="24"/>
          <w:szCs w:val="24"/>
        </w:rPr>
        <w:t>, Inc. v. Dumas</w:t>
      </w:r>
      <w:r w:rsidR="005E51F2" w:rsidRPr="004B336C">
        <w:rPr>
          <w:rFonts w:ascii="Times New Roman" w:hAnsi="Times New Roman" w:cs="Times New Roman"/>
          <w:sz w:val="24"/>
          <w:szCs w:val="24"/>
        </w:rPr>
        <w:t>, 53 F.3d 549, 559 (1995)</w:t>
      </w:r>
      <w:r w:rsidR="005E51F2">
        <w:rPr>
          <w:rFonts w:ascii="Times New Roman" w:hAnsi="Times New Roman" w:cs="Times New Roman"/>
          <w:sz w:val="24"/>
          <w:szCs w:val="24"/>
        </w:rPr>
        <w:t xml:space="preserve">. The Seventh and Ninth Circuits assert that a writing is required prior to the creation of a work – but not in a way that conflicts with the Second Circuit’s holding. </w:t>
      </w:r>
      <w:r w:rsidR="001E25DE">
        <w:rPr>
          <w:rFonts w:ascii="Times New Roman" w:hAnsi="Times New Roman" w:cs="Times New Roman"/>
          <w:i/>
          <w:sz w:val="24"/>
          <w:szCs w:val="24"/>
        </w:rPr>
        <w:t xml:space="preserve">Schiller &amp; Schmidt, Inc. v. Nordisco Corp., </w:t>
      </w:r>
      <w:r w:rsidR="001E25DE">
        <w:rPr>
          <w:rFonts w:ascii="Times New Roman" w:hAnsi="Times New Roman" w:cs="Times New Roman"/>
          <w:sz w:val="24"/>
          <w:szCs w:val="24"/>
        </w:rPr>
        <w:t xml:space="preserve">969 F.2d 410, 413 (1992); </w:t>
      </w:r>
      <w:r w:rsidR="001E25DE">
        <w:rPr>
          <w:rFonts w:ascii="Times New Roman" w:hAnsi="Times New Roman" w:cs="Times New Roman"/>
          <w:i/>
          <w:sz w:val="24"/>
          <w:szCs w:val="24"/>
        </w:rPr>
        <w:t xml:space="preserve">Konigsberg Int’l, Inc. v. Rice, </w:t>
      </w:r>
      <w:r w:rsidR="001E25DE">
        <w:rPr>
          <w:rFonts w:ascii="Times New Roman" w:hAnsi="Times New Roman" w:cs="Times New Roman"/>
          <w:sz w:val="24"/>
          <w:szCs w:val="24"/>
        </w:rPr>
        <w:t>16 F.3d 355 (1994).</w:t>
      </w:r>
      <w:r w:rsidR="003F13A5">
        <w:rPr>
          <w:rFonts w:ascii="Times New Roman" w:hAnsi="Times New Roman" w:cs="Times New Roman"/>
          <w:sz w:val="24"/>
          <w:szCs w:val="24"/>
        </w:rPr>
        <w:t xml:space="preserve"> </w:t>
      </w:r>
      <w:r w:rsidR="003F13A5">
        <w:rPr>
          <w:rFonts w:ascii="Times New Roman" w:hAnsi="Times New Roman" w:cs="Times New Roman"/>
          <w:sz w:val="24"/>
          <w:szCs w:val="24"/>
        </w:rPr>
        <w:lastRenderedPageBreak/>
        <w:t>In all cases where a prior oral agreement exists, an after-the-fact writing memorializing the prior agreement has been found to satisfy § 101(2)’s writing requirement.</w:t>
      </w:r>
    </w:p>
    <w:p w14:paraId="2578642B" w14:textId="77777777" w:rsidR="000D0567" w:rsidRDefault="000D0567" w:rsidP="0057097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Second Circuit holds that “t</w:t>
      </w:r>
      <w:r w:rsidR="00C93D67" w:rsidRPr="004B336C">
        <w:rPr>
          <w:rFonts w:ascii="Times New Roman" w:hAnsi="Times New Roman" w:cs="Times New Roman"/>
          <w:sz w:val="24"/>
          <w:szCs w:val="24"/>
        </w:rPr>
        <w:t xml:space="preserve">he writing requirement of § 101(2) can be met by a writing executed after the work is created, if the writing confirms a prior agreement, either explicit or implicit, made before the creation of the work.” </w:t>
      </w:r>
      <w:r w:rsidR="00597ECB">
        <w:rPr>
          <w:rFonts w:ascii="Times New Roman" w:hAnsi="Times New Roman" w:cs="Times New Roman"/>
          <w:i/>
          <w:sz w:val="24"/>
          <w:szCs w:val="24"/>
        </w:rPr>
        <w:t>Playboy Enter.</w:t>
      </w:r>
      <w:r w:rsidR="00C93D67" w:rsidRPr="004B336C">
        <w:rPr>
          <w:rFonts w:ascii="Times New Roman" w:hAnsi="Times New Roman" w:cs="Times New Roman"/>
          <w:i/>
          <w:sz w:val="24"/>
          <w:szCs w:val="24"/>
        </w:rPr>
        <w:t>, Inc. v. Dumas</w:t>
      </w:r>
      <w:r w:rsidR="00C93D67" w:rsidRPr="004B336C">
        <w:rPr>
          <w:rFonts w:ascii="Times New Roman" w:hAnsi="Times New Roman" w:cs="Times New Roman"/>
          <w:sz w:val="24"/>
          <w:szCs w:val="24"/>
        </w:rPr>
        <w:t>, 53 F.3d 549, 559 (1995).</w:t>
      </w:r>
      <w:r w:rsidR="00C93D67">
        <w:rPr>
          <w:rFonts w:ascii="Times New Roman" w:hAnsi="Times New Roman" w:cs="Times New Roman"/>
          <w:sz w:val="24"/>
          <w:szCs w:val="24"/>
        </w:rPr>
        <w:t xml:space="preserve"> </w:t>
      </w:r>
      <w:r w:rsidR="001E25DE">
        <w:rPr>
          <w:rFonts w:ascii="Times New Roman" w:hAnsi="Times New Roman" w:cs="Times New Roman"/>
          <w:sz w:val="24"/>
          <w:szCs w:val="24"/>
        </w:rPr>
        <w:t>The District of Pu</w:t>
      </w:r>
      <w:r w:rsidR="003F13A5">
        <w:rPr>
          <w:rFonts w:ascii="Times New Roman" w:hAnsi="Times New Roman" w:cs="Times New Roman"/>
          <w:sz w:val="24"/>
          <w:szCs w:val="24"/>
        </w:rPr>
        <w:t>erto Rico agrees with the Second Circuit</w:t>
      </w:r>
      <w:r w:rsidR="001E25DE">
        <w:rPr>
          <w:rFonts w:ascii="Times New Roman" w:hAnsi="Times New Roman" w:cs="Times New Roman"/>
          <w:sz w:val="24"/>
          <w:szCs w:val="24"/>
        </w:rPr>
        <w:t xml:space="preserve">: </w:t>
      </w:r>
      <w:r w:rsidR="00C93D67">
        <w:rPr>
          <w:rFonts w:ascii="Times New Roman" w:hAnsi="Times New Roman" w:cs="Times New Roman"/>
          <w:sz w:val="24"/>
          <w:szCs w:val="24"/>
        </w:rPr>
        <w:t>“A valid contract recognizing and reaffirming work for hire status may be si</w:t>
      </w:r>
      <w:r w:rsidR="00BA5565">
        <w:rPr>
          <w:rFonts w:ascii="Times New Roman" w:hAnsi="Times New Roman" w:cs="Times New Roman"/>
          <w:sz w:val="24"/>
          <w:szCs w:val="24"/>
        </w:rPr>
        <w:t>gned after the work is produced</w:t>
      </w:r>
      <w:r w:rsidR="00C93D67">
        <w:rPr>
          <w:rFonts w:ascii="Times New Roman" w:hAnsi="Times New Roman" w:cs="Times New Roman"/>
          <w:sz w:val="24"/>
          <w:szCs w:val="24"/>
        </w:rPr>
        <w:t xml:space="preserve">” </w:t>
      </w:r>
      <w:r w:rsidR="00F24D2E">
        <w:rPr>
          <w:rFonts w:ascii="Times New Roman" w:hAnsi="Times New Roman" w:cs="Times New Roman"/>
          <w:i/>
          <w:sz w:val="24"/>
          <w:szCs w:val="24"/>
        </w:rPr>
        <w:t>TMTV, Corp. v. Mass Prod.</w:t>
      </w:r>
      <w:r w:rsidR="00C93D67">
        <w:rPr>
          <w:rFonts w:ascii="Times New Roman" w:hAnsi="Times New Roman" w:cs="Times New Roman"/>
          <w:i/>
          <w:sz w:val="24"/>
          <w:szCs w:val="24"/>
        </w:rPr>
        <w:t>, Inc.</w:t>
      </w:r>
      <w:r w:rsidR="00C93D67">
        <w:rPr>
          <w:rFonts w:ascii="Times New Roman" w:hAnsi="Times New Roman" w:cs="Times New Roman"/>
          <w:sz w:val="24"/>
          <w:szCs w:val="24"/>
        </w:rPr>
        <w:t xml:space="preserve">, 345 F.Supp.2d 196, 206 (2004). </w:t>
      </w:r>
    </w:p>
    <w:p w14:paraId="16A799B2" w14:textId="77777777" w:rsidR="00901A77" w:rsidRDefault="00A7260F" w:rsidP="0057097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Lime and TinyTV</w:t>
      </w:r>
      <w:r w:rsidR="00C93D67">
        <w:rPr>
          <w:rFonts w:ascii="Times New Roman" w:hAnsi="Times New Roman" w:cs="Times New Roman"/>
          <w:sz w:val="24"/>
          <w:szCs w:val="24"/>
        </w:rPr>
        <w:t xml:space="preserve"> </w:t>
      </w:r>
      <w:r w:rsidR="000D0567">
        <w:rPr>
          <w:rFonts w:ascii="Times New Roman" w:hAnsi="Times New Roman" w:cs="Times New Roman"/>
          <w:sz w:val="24"/>
          <w:szCs w:val="24"/>
        </w:rPr>
        <w:t>reference the Seventh Circuit</w:t>
      </w:r>
      <w:r w:rsidR="003F13A5">
        <w:rPr>
          <w:rFonts w:ascii="Times New Roman" w:hAnsi="Times New Roman" w:cs="Times New Roman"/>
          <w:sz w:val="24"/>
          <w:szCs w:val="24"/>
        </w:rPr>
        <w:t xml:space="preserve"> in support of their claims</w:t>
      </w:r>
      <w:r w:rsidR="000D0567">
        <w:rPr>
          <w:rFonts w:ascii="Times New Roman" w:hAnsi="Times New Roman" w:cs="Times New Roman"/>
          <w:sz w:val="24"/>
          <w:szCs w:val="24"/>
        </w:rPr>
        <w:t xml:space="preserve">: “The writing must precede the creation of the property in order to serve its purpose of identifying the (noncreator) owner unequivocally” </w:t>
      </w:r>
      <w:r w:rsidR="000D0567">
        <w:rPr>
          <w:rFonts w:ascii="Times New Roman" w:hAnsi="Times New Roman" w:cs="Times New Roman"/>
          <w:i/>
          <w:sz w:val="24"/>
          <w:szCs w:val="24"/>
        </w:rPr>
        <w:t xml:space="preserve">Schiller &amp; Schmidt, Inc. v. Nordisco Corp., </w:t>
      </w:r>
      <w:r w:rsidR="000D0567">
        <w:rPr>
          <w:rFonts w:ascii="Times New Roman" w:hAnsi="Times New Roman" w:cs="Times New Roman"/>
          <w:sz w:val="24"/>
          <w:szCs w:val="24"/>
        </w:rPr>
        <w:t xml:space="preserve">969 F.2d 410, 413 (1992). They argue that this language from </w:t>
      </w:r>
      <w:r w:rsidR="000D0567">
        <w:rPr>
          <w:rFonts w:ascii="Times New Roman" w:hAnsi="Times New Roman" w:cs="Times New Roman"/>
          <w:i/>
          <w:sz w:val="24"/>
          <w:szCs w:val="24"/>
        </w:rPr>
        <w:t xml:space="preserve">Schiller </w:t>
      </w:r>
      <w:r w:rsidR="00C93D67">
        <w:rPr>
          <w:rFonts w:ascii="Times New Roman" w:hAnsi="Times New Roman" w:cs="Times New Roman"/>
          <w:sz w:val="24"/>
          <w:szCs w:val="24"/>
        </w:rPr>
        <w:t xml:space="preserve">creates a circuit split, and that in spite of the clearly detrimental policy implications of mandating a writing requirement in the face of a prior oral agreement, this harmful policy should nevertheless be </w:t>
      </w:r>
      <w:r w:rsidR="005415B8">
        <w:rPr>
          <w:rFonts w:ascii="Times New Roman" w:hAnsi="Times New Roman" w:cs="Times New Roman"/>
          <w:sz w:val="24"/>
          <w:szCs w:val="24"/>
        </w:rPr>
        <w:t xml:space="preserve">adopted. This argument fails because </w:t>
      </w:r>
      <w:r w:rsidR="005415B8">
        <w:rPr>
          <w:rFonts w:ascii="Times New Roman" w:hAnsi="Times New Roman" w:cs="Times New Roman"/>
          <w:i/>
          <w:sz w:val="24"/>
          <w:szCs w:val="24"/>
        </w:rPr>
        <w:t>Schiller</w:t>
      </w:r>
      <w:r w:rsidR="005415B8">
        <w:rPr>
          <w:rFonts w:ascii="Times New Roman" w:hAnsi="Times New Roman" w:cs="Times New Roman"/>
          <w:sz w:val="24"/>
          <w:szCs w:val="24"/>
        </w:rPr>
        <w:t xml:space="preserve"> can be distinguished from </w:t>
      </w:r>
      <w:r w:rsidR="005415B8">
        <w:rPr>
          <w:rFonts w:ascii="Times New Roman" w:hAnsi="Times New Roman" w:cs="Times New Roman"/>
          <w:i/>
          <w:sz w:val="24"/>
          <w:szCs w:val="24"/>
        </w:rPr>
        <w:t>Playboy</w:t>
      </w:r>
      <w:r w:rsidR="005415B8">
        <w:rPr>
          <w:rFonts w:ascii="Times New Roman" w:hAnsi="Times New Roman" w:cs="Times New Roman"/>
          <w:sz w:val="24"/>
          <w:szCs w:val="24"/>
        </w:rPr>
        <w:t xml:space="preserve"> in a </w:t>
      </w:r>
      <w:r w:rsidR="00901A77">
        <w:rPr>
          <w:rFonts w:ascii="Times New Roman" w:hAnsi="Times New Roman" w:cs="Times New Roman"/>
          <w:sz w:val="24"/>
          <w:szCs w:val="24"/>
        </w:rPr>
        <w:t xml:space="preserve">couple </w:t>
      </w:r>
      <w:r w:rsidR="005415B8">
        <w:rPr>
          <w:rFonts w:ascii="Times New Roman" w:hAnsi="Times New Roman" w:cs="Times New Roman"/>
          <w:sz w:val="24"/>
          <w:szCs w:val="24"/>
        </w:rPr>
        <w:t>very important way</w:t>
      </w:r>
      <w:r w:rsidR="00901A77">
        <w:rPr>
          <w:rFonts w:ascii="Times New Roman" w:hAnsi="Times New Roman" w:cs="Times New Roman"/>
          <w:sz w:val="24"/>
          <w:szCs w:val="24"/>
        </w:rPr>
        <w:t>s</w:t>
      </w:r>
      <w:r w:rsidR="005415B8">
        <w:rPr>
          <w:rFonts w:ascii="Times New Roman" w:hAnsi="Times New Roman" w:cs="Times New Roman"/>
          <w:sz w:val="24"/>
          <w:szCs w:val="24"/>
        </w:rPr>
        <w:t xml:space="preserve">: </w:t>
      </w:r>
      <w:r w:rsidR="00901A77">
        <w:rPr>
          <w:rFonts w:ascii="Times New Roman" w:hAnsi="Times New Roman" w:cs="Times New Roman"/>
          <w:sz w:val="24"/>
          <w:szCs w:val="24"/>
        </w:rPr>
        <w:t xml:space="preserve">(1) </w:t>
      </w:r>
      <w:r w:rsidR="005415B8">
        <w:rPr>
          <w:rFonts w:ascii="Times New Roman" w:hAnsi="Times New Roman" w:cs="Times New Roman"/>
          <w:sz w:val="24"/>
          <w:szCs w:val="24"/>
        </w:rPr>
        <w:t xml:space="preserve">There was no prior oral agreement in </w:t>
      </w:r>
      <w:r w:rsidR="005415B8">
        <w:rPr>
          <w:rFonts w:ascii="Times New Roman" w:hAnsi="Times New Roman" w:cs="Times New Roman"/>
          <w:i/>
          <w:sz w:val="24"/>
          <w:szCs w:val="24"/>
        </w:rPr>
        <w:t>Schiller</w:t>
      </w:r>
      <w:r w:rsidR="00901A77">
        <w:rPr>
          <w:rFonts w:ascii="Times New Roman" w:hAnsi="Times New Roman" w:cs="Times New Roman"/>
          <w:sz w:val="24"/>
          <w:szCs w:val="24"/>
        </w:rPr>
        <w:t xml:space="preserve">; and (2) the writing was not signed by both parties in </w:t>
      </w:r>
      <w:r w:rsidR="00901A77">
        <w:rPr>
          <w:rFonts w:ascii="Times New Roman" w:hAnsi="Times New Roman" w:cs="Times New Roman"/>
          <w:i/>
          <w:sz w:val="24"/>
          <w:szCs w:val="24"/>
        </w:rPr>
        <w:t>Schiller</w:t>
      </w:r>
      <w:r w:rsidR="00C93D67">
        <w:rPr>
          <w:rFonts w:ascii="Times New Roman" w:hAnsi="Times New Roman" w:cs="Times New Roman"/>
          <w:sz w:val="24"/>
          <w:szCs w:val="24"/>
        </w:rPr>
        <w:t>.</w:t>
      </w:r>
      <w:r w:rsidR="005E51F2">
        <w:rPr>
          <w:rFonts w:ascii="Times New Roman" w:hAnsi="Times New Roman" w:cs="Times New Roman"/>
          <w:sz w:val="24"/>
          <w:szCs w:val="24"/>
        </w:rPr>
        <w:t xml:space="preserve"> </w:t>
      </w:r>
    </w:p>
    <w:p w14:paraId="36BFED7F" w14:textId="77777777" w:rsidR="00570976" w:rsidRDefault="00901A77" w:rsidP="0057097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In effect, t</w:t>
      </w:r>
      <w:r w:rsidR="005E51F2">
        <w:rPr>
          <w:rFonts w:ascii="Times New Roman" w:hAnsi="Times New Roman" w:cs="Times New Roman"/>
          <w:sz w:val="24"/>
          <w:szCs w:val="24"/>
        </w:rPr>
        <w:t xml:space="preserve">he Seventh Circuit never considered how § 101(2)’s writing requirement should apply in the face of a prior oral agreement between the parties. </w:t>
      </w:r>
      <w:r w:rsidR="003F13A5">
        <w:rPr>
          <w:rFonts w:ascii="Times New Roman" w:hAnsi="Times New Roman" w:cs="Times New Roman"/>
          <w:sz w:val="24"/>
          <w:szCs w:val="24"/>
        </w:rPr>
        <w:t>In addition</w:t>
      </w:r>
      <w:r w:rsidR="00353F35">
        <w:rPr>
          <w:rFonts w:ascii="Times New Roman" w:hAnsi="Times New Roman" w:cs="Times New Roman"/>
          <w:sz w:val="24"/>
          <w:szCs w:val="24"/>
        </w:rPr>
        <w:t xml:space="preserve">, </w:t>
      </w:r>
      <w:r>
        <w:rPr>
          <w:rFonts w:ascii="Times New Roman" w:hAnsi="Times New Roman" w:cs="Times New Roman"/>
          <w:sz w:val="24"/>
          <w:szCs w:val="24"/>
        </w:rPr>
        <w:t>the</w:t>
      </w:r>
      <w:r w:rsidR="00353F35">
        <w:rPr>
          <w:rFonts w:ascii="Times New Roman" w:hAnsi="Times New Roman" w:cs="Times New Roman"/>
          <w:sz w:val="24"/>
          <w:szCs w:val="24"/>
        </w:rPr>
        <w:t xml:space="preserve"> Seventh Circuit found</w:t>
      </w:r>
      <w:r>
        <w:rPr>
          <w:rFonts w:ascii="Times New Roman" w:hAnsi="Times New Roman" w:cs="Times New Roman"/>
          <w:sz w:val="24"/>
          <w:szCs w:val="24"/>
        </w:rPr>
        <w:t xml:space="preserve"> </w:t>
      </w:r>
      <w:r w:rsidR="00353F35">
        <w:rPr>
          <w:rFonts w:ascii="Times New Roman" w:hAnsi="Times New Roman" w:cs="Times New Roman"/>
          <w:sz w:val="24"/>
          <w:szCs w:val="24"/>
        </w:rPr>
        <w:t xml:space="preserve">that the writing in </w:t>
      </w:r>
      <w:r w:rsidR="00353F35" w:rsidRPr="00353F35">
        <w:rPr>
          <w:rFonts w:ascii="Times New Roman" w:hAnsi="Times New Roman" w:cs="Times New Roman"/>
          <w:i/>
          <w:sz w:val="24"/>
          <w:szCs w:val="24"/>
        </w:rPr>
        <w:t>Schiller</w:t>
      </w:r>
      <w:r w:rsidR="00353F35">
        <w:rPr>
          <w:rFonts w:ascii="Times New Roman" w:hAnsi="Times New Roman" w:cs="Times New Roman"/>
          <w:sz w:val="24"/>
          <w:szCs w:val="24"/>
        </w:rPr>
        <w:t xml:space="preserve"> failed to satisfy § 101(2)’s writing requirement because the writing was not signed by both parties – the court’s subsequent statement that the writing was also not valid because it did not “precede the creation of the property” was made absent </w:t>
      </w:r>
      <w:r w:rsidR="0001775F">
        <w:rPr>
          <w:rFonts w:ascii="Times New Roman" w:hAnsi="Times New Roman" w:cs="Times New Roman"/>
          <w:sz w:val="24"/>
          <w:szCs w:val="24"/>
        </w:rPr>
        <w:t xml:space="preserve">any textual analysis and/or legislative history consultation, and was not necessary for the </w:t>
      </w:r>
      <w:r w:rsidRPr="00353F35">
        <w:rPr>
          <w:rFonts w:ascii="Times New Roman" w:hAnsi="Times New Roman" w:cs="Times New Roman"/>
          <w:sz w:val="24"/>
          <w:szCs w:val="24"/>
        </w:rPr>
        <w:t>holding</w:t>
      </w:r>
      <w:r w:rsidR="0001775F">
        <w:rPr>
          <w:rFonts w:ascii="Times New Roman" w:hAnsi="Times New Roman" w:cs="Times New Roman"/>
          <w:sz w:val="24"/>
          <w:szCs w:val="24"/>
        </w:rPr>
        <w:t xml:space="preserve"> of </w:t>
      </w:r>
      <w:r w:rsidR="0001775F">
        <w:rPr>
          <w:rFonts w:ascii="Times New Roman" w:hAnsi="Times New Roman" w:cs="Times New Roman"/>
          <w:sz w:val="24"/>
          <w:szCs w:val="24"/>
        </w:rPr>
        <w:lastRenderedPageBreak/>
        <w:t xml:space="preserve">the case. </w:t>
      </w:r>
      <w:r w:rsidR="0001775F" w:rsidRPr="0088530B">
        <w:rPr>
          <w:rFonts w:ascii="Times New Roman" w:hAnsi="Times New Roman" w:cs="Times New Roman"/>
          <w:sz w:val="24"/>
          <w:szCs w:val="24"/>
        </w:rPr>
        <w:t>Bec</w:t>
      </w:r>
      <w:r w:rsidR="0001775F">
        <w:rPr>
          <w:rFonts w:ascii="Times New Roman" w:hAnsi="Times New Roman" w:cs="Times New Roman"/>
          <w:sz w:val="24"/>
          <w:szCs w:val="24"/>
        </w:rPr>
        <w:t>ause the Seventh Circuit</w:t>
      </w:r>
      <w:r>
        <w:rPr>
          <w:rFonts w:ascii="Times New Roman" w:hAnsi="Times New Roman" w:cs="Times New Roman"/>
          <w:i/>
          <w:sz w:val="24"/>
          <w:szCs w:val="24"/>
        </w:rPr>
        <w:t xml:space="preserve"> </w:t>
      </w:r>
      <w:r>
        <w:rPr>
          <w:rFonts w:ascii="Times New Roman" w:hAnsi="Times New Roman" w:cs="Times New Roman"/>
          <w:sz w:val="24"/>
          <w:szCs w:val="24"/>
        </w:rPr>
        <w:t xml:space="preserve">did </w:t>
      </w:r>
      <w:r w:rsidR="0001775F">
        <w:rPr>
          <w:rFonts w:ascii="Times New Roman" w:hAnsi="Times New Roman" w:cs="Times New Roman"/>
          <w:sz w:val="24"/>
          <w:szCs w:val="24"/>
        </w:rPr>
        <w:t>not rely on the issue of when the</w:t>
      </w:r>
      <w:r>
        <w:rPr>
          <w:rFonts w:ascii="Times New Roman" w:hAnsi="Times New Roman" w:cs="Times New Roman"/>
          <w:sz w:val="24"/>
          <w:szCs w:val="24"/>
        </w:rPr>
        <w:t xml:space="preserve"> writing was created</w:t>
      </w:r>
      <w:r w:rsidR="003F13A5">
        <w:rPr>
          <w:rFonts w:ascii="Times New Roman" w:hAnsi="Times New Roman" w:cs="Times New Roman"/>
          <w:sz w:val="24"/>
          <w:szCs w:val="24"/>
        </w:rPr>
        <w:t xml:space="preserve"> (the timing of the writing would not have changed the outcome of the case)</w:t>
      </w:r>
      <w:r>
        <w:rPr>
          <w:rFonts w:ascii="Times New Roman" w:hAnsi="Times New Roman" w:cs="Times New Roman"/>
          <w:sz w:val="24"/>
          <w:szCs w:val="24"/>
        </w:rPr>
        <w:t>,</w:t>
      </w:r>
      <w:r w:rsidR="0001775F">
        <w:rPr>
          <w:rFonts w:ascii="Times New Roman" w:hAnsi="Times New Roman" w:cs="Times New Roman"/>
          <w:sz w:val="24"/>
          <w:szCs w:val="24"/>
        </w:rPr>
        <w:t xml:space="preserve"> the court’s </w:t>
      </w:r>
      <w:r>
        <w:rPr>
          <w:rFonts w:ascii="Times New Roman" w:hAnsi="Times New Roman" w:cs="Times New Roman"/>
          <w:sz w:val="24"/>
          <w:szCs w:val="24"/>
        </w:rPr>
        <w:t xml:space="preserve">comments on the appropriate timing of </w:t>
      </w:r>
      <w:r w:rsidR="0088530B">
        <w:rPr>
          <w:rFonts w:ascii="Times New Roman" w:hAnsi="Times New Roman" w:cs="Times New Roman"/>
          <w:sz w:val="24"/>
          <w:szCs w:val="24"/>
        </w:rPr>
        <w:t xml:space="preserve">the </w:t>
      </w:r>
      <w:r w:rsidR="0001775F">
        <w:rPr>
          <w:rFonts w:ascii="Times New Roman" w:hAnsi="Times New Roman" w:cs="Times New Roman"/>
          <w:sz w:val="24"/>
          <w:szCs w:val="24"/>
        </w:rPr>
        <w:t>writing</w:t>
      </w:r>
      <w:r>
        <w:rPr>
          <w:rFonts w:ascii="Times New Roman" w:hAnsi="Times New Roman" w:cs="Times New Roman"/>
          <w:sz w:val="24"/>
          <w:szCs w:val="24"/>
        </w:rPr>
        <w:t xml:space="preserve"> were simply dictum</w:t>
      </w:r>
      <w:r w:rsidR="00C93D67">
        <w:rPr>
          <w:rFonts w:ascii="Times New Roman" w:hAnsi="Times New Roman" w:cs="Times New Roman"/>
          <w:sz w:val="24"/>
          <w:szCs w:val="24"/>
        </w:rPr>
        <w:t xml:space="preserve">. The Supreme Court of the United States maintains that “[d]ictum settles nothing, even in the court that utters it.” </w:t>
      </w:r>
      <w:r w:rsidR="00C93D67">
        <w:rPr>
          <w:rFonts w:ascii="Times New Roman" w:hAnsi="Times New Roman" w:cs="Times New Roman"/>
          <w:i/>
          <w:sz w:val="24"/>
          <w:szCs w:val="24"/>
        </w:rPr>
        <w:t xml:space="preserve">Jama v. Immigration and Customs Enforcement, </w:t>
      </w:r>
      <w:r w:rsidR="00C93D67">
        <w:rPr>
          <w:rFonts w:ascii="Times New Roman" w:hAnsi="Times New Roman" w:cs="Times New Roman"/>
          <w:sz w:val="24"/>
          <w:szCs w:val="24"/>
        </w:rPr>
        <w:t xml:space="preserve">543 U.S. 335, 351 n. 12 (2005). </w:t>
      </w:r>
    </w:p>
    <w:p w14:paraId="7C0704F0" w14:textId="77777777" w:rsidR="00C93D67" w:rsidRDefault="00C93D67" w:rsidP="0057097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Ev</w:t>
      </w:r>
      <w:r w:rsidR="00570976">
        <w:rPr>
          <w:rFonts w:ascii="Times New Roman" w:hAnsi="Times New Roman" w:cs="Times New Roman"/>
          <w:sz w:val="24"/>
          <w:szCs w:val="24"/>
        </w:rPr>
        <w:t xml:space="preserve">en if there were a conflict between </w:t>
      </w:r>
      <w:r w:rsidR="00570976">
        <w:rPr>
          <w:rFonts w:ascii="Times New Roman" w:hAnsi="Times New Roman" w:cs="Times New Roman"/>
          <w:i/>
          <w:sz w:val="24"/>
          <w:szCs w:val="24"/>
        </w:rPr>
        <w:t xml:space="preserve">Schiller </w:t>
      </w:r>
      <w:r w:rsidR="00570976">
        <w:rPr>
          <w:rFonts w:ascii="Times New Roman" w:hAnsi="Times New Roman" w:cs="Times New Roman"/>
          <w:sz w:val="24"/>
          <w:szCs w:val="24"/>
        </w:rPr>
        <w:t xml:space="preserve">and </w:t>
      </w:r>
      <w:r w:rsidR="00570976">
        <w:rPr>
          <w:rFonts w:ascii="Times New Roman" w:hAnsi="Times New Roman" w:cs="Times New Roman"/>
          <w:i/>
          <w:sz w:val="24"/>
          <w:szCs w:val="24"/>
        </w:rPr>
        <w:t>Playboy</w:t>
      </w:r>
      <w:r>
        <w:rPr>
          <w:rFonts w:ascii="Times New Roman" w:hAnsi="Times New Roman" w:cs="Times New Roman"/>
          <w:sz w:val="24"/>
          <w:szCs w:val="24"/>
        </w:rPr>
        <w:t xml:space="preserve">, </w:t>
      </w:r>
      <w:r>
        <w:rPr>
          <w:rFonts w:ascii="Times New Roman" w:hAnsi="Times New Roman" w:cs="Times New Roman"/>
          <w:i/>
          <w:sz w:val="24"/>
          <w:szCs w:val="24"/>
        </w:rPr>
        <w:t>Playboy</w:t>
      </w:r>
      <w:r w:rsidR="00570976">
        <w:rPr>
          <w:rFonts w:ascii="Times New Roman" w:hAnsi="Times New Roman" w:cs="Times New Roman"/>
          <w:sz w:val="24"/>
          <w:szCs w:val="24"/>
        </w:rPr>
        <w:t xml:space="preserve"> is persuasive on this issue</w:t>
      </w:r>
      <w:r>
        <w:rPr>
          <w:rFonts w:ascii="Times New Roman" w:hAnsi="Times New Roman" w:cs="Times New Roman"/>
          <w:sz w:val="24"/>
          <w:szCs w:val="24"/>
        </w:rPr>
        <w:t xml:space="preserve">, because the Second Circuit is deemed to be “the </w:t>
      </w:r>
      <w:r>
        <w:rPr>
          <w:rFonts w:ascii="Times New Roman" w:hAnsi="Times New Roman" w:cs="Times New Roman"/>
          <w:i/>
          <w:sz w:val="24"/>
          <w:szCs w:val="24"/>
        </w:rPr>
        <w:t>de facto</w:t>
      </w:r>
      <w:r>
        <w:rPr>
          <w:rFonts w:ascii="Times New Roman" w:hAnsi="Times New Roman" w:cs="Times New Roman"/>
          <w:sz w:val="24"/>
          <w:szCs w:val="24"/>
        </w:rPr>
        <w:t xml:space="preserve"> Copyright Court of the United States.” </w:t>
      </w:r>
      <w:r>
        <w:rPr>
          <w:rFonts w:ascii="Times New Roman" w:hAnsi="Times New Roman" w:cs="Times New Roman"/>
          <w:i/>
          <w:sz w:val="24"/>
          <w:szCs w:val="24"/>
        </w:rPr>
        <w:t xml:space="preserve">Compaq Computer Corp. v. Ergonome Inc., </w:t>
      </w:r>
      <w:r>
        <w:rPr>
          <w:rFonts w:ascii="Times New Roman" w:hAnsi="Times New Roman" w:cs="Times New Roman"/>
          <w:sz w:val="24"/>
          <w:szCs w:val="24"/>
        </w:rPr>
        <w:t xml:space="preserve">210 F.Supp.2d 839, 843 (2001) (agreeing with the Second Circuit and rejecting the Seventh Circuit’s finding in </w:t>
      </w:r>
      <w:r>
        <w:rPr>
          <w:rFonts w:ascii="Times New Roman" w:hAnsi="Times New Roman" w:cs="Times New Roman"/>
          <w:i/>
          <w:sz w:val="24"/>
          <w:szCs w:val="24"/>
        </w:rPr>
        <w:t>Schiller</w:t>
      </w:r>
      <w:r>
        <w:rPr>
          <w:rFonts w:ascii="Times New Roman" w:hAnsi="Times New Roman" w:cs="Times New Roman"/>
          <w:sz w:val="24"/>
          <w:szCs w:val="24"/>
        </w:rPr>
        <w:t xml:space="preserve">, noting that the Fifth Circuit has deemed the Second Circuit the </w:t>
      </w:r>
      <w:r>
        <w:rPr>
          <w:rFonts w:ascii="Times New Roman" w:hAnsi="Times New Roman" w:cs="Times New Roman"/>
          <w:i/>
          <w:sz w:val="24"/>
          <w:szCs w:val="24"/>
        </w:rPr>
        <w:t>de facto</w:t>
      </w:r>
      <w:r>
        <w:rPr>
          <w:rFonts w:ascii="Times New Roman" w:hAnsi="Times New Roman" w:cs="Times New Roman"/>
          <w:sz w:val="24"/>
          <w:szCs w:val="24"/>
        </w:rPr>
        <w:t xml:space="preserve"> Copyright Court).</w:t>
      </w:r>
    </w:p>
    <w:p w14:paraId="3455694B" w14:textId="77777777" w:rsidR="004A2CFA" w:rsidRDefault="004A2CFA" w:rsidP="0057097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Ninth Circuit addresses the writing requirement of an entirely different </w:t>
      </w:r>
      <w:r w:rsidR="003574C6">
        <w:rPr>
          <w:rFonts w:ascii="Times New Roman" w:hAnsi="Times New Roman" w:cs="Times New Roman"/>
          <w:sz w:val="24"/>
          <w:szCs w:val="24"/>
        </w:rPr>
        <w:t xml:space="preserve">section of the Copyright Act; namely, § 204(a) governing transfers of copyrighted material. </w:t>
      </w:r>
      <w:r w:rsidR="003574C6">
        <w:rPr>
          <w:rFonts w:ascii="Times New Roman" w:hAnsi="Times New Roman" w:cs="Times New Roman"/>
          <w:i/>
          <w:sz w:val="24"/>
          <w:szCs w:val="24"/>
        </w:rPr>
        <w:t xml:space="preserve">Konigsberg Int’l, Inc. v. Rice, </w:t>
      </w:r>
      <w:r w:rsidR="003574C6">
        <w:rPr>
          <w:rFonts w:ascii="Times New Roman" w:hAnsi="Times New Roman" w:cs="Times New Roman"/>
          <w:sz w:val="24"/>
          <w:szCs w:val="24"/>
        </w:rPr>
        <w:t xml:space="preserve">16 F.3d 355, 357 (1994). Therefore, the Ninth Circuit is far from in conflict with the Second Circuit. </w:t>
      </w:r>
    </w:p>
    <w:p w14:paraId="4BB530B2" w14:textId="77777777" w:rsidR="00475F07" w:rsidRDefault="00475F07" w:rsidP="00570976">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Second Circuit held that a writing made following an oral agreement satisfies § 101(2)’s writing requirement. The District of Puerto Rico agreed with the Second Circuit. The Seventh Circuit disagreed with the Second Circuit, but did so considering facts materially different from the cases in the Second Circuit and the District of Puerto Rico. The Ninth Circuit considered an entirely different section of the Copyright Act, and is therefore entirely unpersuasive. All cases with a prior oral agreement, as we have here in this case, have found that a subsequent writing memorializing the prior agreement satisfies § 101(2)’s writing requirement.</w:t>
      </w:r>
    </w:p>
    <w:p w14:paraId="0119FD53" w14:textId="77777777" w:rsidR="003574C6" w:rsidRDefault="003574C6" w:rsidP="00570976">
      <w:pPr>
        <w:spacing w:after="0" w:line="480" w:lineRule="auto"/>
        <w:ind w:firstLine="720"/>
        <w:rPr>
          <w:rFonts w:ascii="Times New Roman" w:hAnsi="Times New Roman" w:cs="Times New Roman"/>
          <w:sz w:val="24"/>
          <w:szCs w:val="24"/>
        </w:rPr>
      </w:pPr>
    </w:p>
    <w:p w14:paraId="5D1818C4" w14:textId="77777777" w:rsidR="00597ECB" w:rsidRPr="003C790D" w:rsidRDefault="00597ECB" w:rsidP="00597ECB">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b/>
          <w:sz w:val="24"/>
          <w:szCs w:val="24"/>
        </w:rPr>
        <w:lastRenderedPageBreak/>
        <w:t>Poli</w:t>
      </w:r>
      <w:r w:rsidR="00A123FC">
        <w:rPr>
          <w:rFonts w:ascii="Times New Roman" w:hAnsi="Times New Roman" w:cs="Times New Roman"/>
          <w:b/>
          <w:sz w:val="24"/>
          <w:szCs w:val="24"/>
        </w:rPr>
        <w:t>cy Objectives Confirm a Prior Writing Requirement in the Face of a Prior Oral Agreement Would Be Harmful</w:t>
      </w:r>
    </w:p>
    <w:p w14:paraId="007AF937" w14:textId="77777777" w:rsidR="00A123FC" w:rsidRDefault="00597ECB" w:rsidP="00597EC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There are numerous policy arguments t</w:t>
      </w:r>
      <w:r w:rsidR="00A123FC">
        <w:rPr>
          <w:rFonts w:ascii="Times New Roman" w:hAnsi="Times New Roman" w:cs="Times New Roman"/>
          <w:sz w:val="24"/>
          <w:szCs w:val="24"/>
        </w:rPr>
        <w:t>hat reinforce the plain text, legislative history, and case law behind</w:t>
      </w:r>
      <w:r>
        <w:rPr>
          <w:rFonts w:ascii="Times New Roman" w:hAnsi="Times New Roman" w:cs="Times New Roman"/>
          <w:sz w:val="24"/>
          <w:szCs w:val="24"/>
        </w:rPr>
        <w:t xml:space="preserve"> the Copyright Act of 1976.</w:t>
      </w:r>
      <w:r w:rsidR="00A123FC">
        <w:rPr>
          <w:rFonts w:ascii="Times New Roman" w:hAnsi="Times New Roman" w:cs="Times New Roman"/>
          <w:sz w:val="24"/>
          <w:szCs w:val="24"/>
        </w:rPr>
        <w:t xml:space="preserve"> </w:t>
      </w:r>
      <w:r w:rsidR="002E7F2C">
        <w:rPr>
          <w:rFonts w:ascii="Times New Roman" w:hAnsi="Times New Roman" w:cs="Times New Roman"/>
          <w:sz w:val="24"/>
          <w:szCs w:val="24"/>
        </w:rPr>
        <w:t xml:space="preserve">Among these </w:t>
      </w:r>
      <w:r w:rsidR="00D3512A">
        <w:rPr>
          <w:rFonts w:ascii="Times New Roman" w:hAnsi="Times New Roman" w:cs="Times New Roman"/>
          <w:sz w:val="24"/>
          <w:szCs w:val="24"/>
        </w:rPr>
        <w:t>arguments is</w:t>
      </w:r>
      <w:r w:rsidR="002E7F2C">
        <w:rPr>
          <w:rFonts w:ascii="Times New Roman" w:hAnsi="Times New Roman" w:cs="Times New Roman"/>
          <w:sz w:val="24"/>
          <w:szCs w:val="24"/>
        </w:rPr>
        <w:t xml:space="preserve"> the appeal of (1) basic fairness, (2) freedom of contract, </w:t>
      </w:r>
      <w:r w:rsidR="00D3512A">
        <w:rPr>
          <w:rFonts w:ascii="Times New Roman" w:hAnsi="Times New Roman" w:cs="Times New Roman"/>
          <w:sz w:val="24"/>
          <w:szCs w:val="24"/>
        </w:rPr>
        <w:t xml:space="preserve">and </w:t>
      </w:r>
      <w:r w:rsidR="00076E6F">
        <w:rPr>
          <w:rFonts w:ascii="Times New Roman" w:hAnsi="Times New Roman" w:cs="Times New Roman"/>
          <w:sz w:val="24"/>
          <w:szCs w:val="24"/>
        </w:rPr>
        <w:t xml:space="preserve">(3) supporting the </w:t>
      </w:r>
      <w:r w:rsidR="002E7F2C">
        <w:rPr>
          <w:rFonts w:ascii="Times New Roman" w:hAnsi="Times New Roman" w:cs="Times New Roman"/>
          <w:sz w:val="24"/>
          <w:szCs w:val="24"/>
        </w:rPr>
        <w:t>n</w:t>
      </w:r>
      <w:r w:rsidR="001026FB">
        <w:rPr>
          <w:rFonts w:ascii="Times New Roman" w:hAnsi="Times New Roman" w:cs="Times New Roman"/>
          <w:sz w:val="24"/>
          <w:szCs w:val="24"/>
        </w:rPr>
        <w:t>orms</w:t>
      </w:r>
      <w:r w:rsidR="00076E6F">
        <w:rPr>
          <w:rFonts w:ascii="Times New Roman" w:hAnsi="Times New Roman" w:cs="Times New Roman"/>
          <w:sz w:val="24"/>
          <w:szCs w:val="24"/>
        </w:rPr>
        <w:t xml:space="preserve"> of the publishing industry</w:t>
      </w:r>
      <w:r w:rsidR="00A123FC">
        <w:rPr>
          <w:rFonts w:ascii="Times New Roman" w:hAnsi="Times New Roman" w:cs="Times New Roman"/>
          <w:sz w:val="24"/>
          <w:szCs w:val="24"/>
        </w:rPr>
        <w:t>.</w:t>
      </w:r>
      <w:r w:rsidR="00D3512A">
        <w:rPr>
          <w:rFonts w:ascii="Times New Roman" w:hAnsi="Times New Roman" w:cs="Times New Roman"/>
          <w:sz w:val="24"/>
          <w:szCs w:val="24"/>
        </w:rPr>
        <w:t xml:space="preserve"> Lime and TinyTV’s arguments regarding clarity, avoiding exploitation, and the rule of lenity fail for the reasons outlined below.</w:t>
      </w:r>
      <w:r>
        <w:rPr>
          <w:rFonts w:ascii="Times New Roman" w:hAnsi="Times New Roman" w:cs="Times New Roman"/>
          <w:sz w:val="24"/>
          <w:szCs w:val="24"/>
        </w:rPr>
        <w:t xml:space="preserve"> </w:t>
      </w:r>
    </w:p>
    <w:p w14:paraId="08B7620A" w14:textId="77777777" w:rsidR="001026FB" w:rsidRDefault="00597ECB" w:rsidP="001026FB">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American law has always sought to respect freedom of contract and promote basic fairness. Lime admits, by failing to deny in her answer, that she made an oral agreement with OGS that the screenplay would be a work-for-hire (Comp. ¶ 18). Where the intent of both parties is clear, it is fair to enforce the contract. </w:t>
      </w:r>
      <w:r w:rsidR="00A123FC">
        <w:rPr>
          <w:rFonts w:ascii="Times New Roman" w:hAnsi="Times New Roman" w:cs="Times New Roman"/>
          <w:sz w:val="24"/>
          <w:szCs w:val="24"/>
        </w:rPr>
        <w:t xml:space="preserve">“All contracts are to be construed to accomplish the intention of the parties” 70 U.S. 51, 73 (1865). </w:t>
      </w:r>
      <w:r>
        <w:rPr>
          <w:rFonts w:ascii="Times New Roman" w:hAnsi="Times New Roman" w:cs="Times New Roman"/>
          <w:sz w:val="24"/>
          <w:szCs w:val="24"/>
        </w:rPr>
        <w:t>In addition, it is desirable for our laws to encourage and facilitate, rather than obstruct, commerce. Employers should not be forced to draft a written contract before asking someone to work for them. This con</w:t>
      </w:r>
      <w:r w:rsidR="00146012">
        <w:rPr>
          <w:rFonts w:ascii="Times New Roman" w:hAnsi="Times New Roman" w:cs="Times New Roman"/>
          <w:sz w:val="24"/>
          <w:szCs w:val="24"/>
        </w:rPr>
        <w:t>flicts with the culture of the publishing industry</w:t>
      </w:r>
      <w:r>
        <w:rPr>
          <w:rFonts w:ascii="Times New Roman" w:hAnsi="Times New Roman" w:cs="Times New Roman"/>
          <w:sz w:val="24"/>
          <w:szCs w:val="24"/>
        </w:rPr>
        <w:t>, where oral agreements are sufficient to establish an employment relationship due to thei</w:t>
      </w:r>
      <w:r w:rsidR="00146012">
        <w:rPr>
          <w:rFonts w:ascii="Times New Roman" w:hAnsi="Times New Roman" w:cs="Times New Roman"/>
          <w:sz w:val="24"/>
          <w:szCs w:val="24"/>
        </w:rPr>
        <w:t xml:space="preserve">r expedience and practicability: “… in the real world, publishers and editors frequently deal informally with writers… The telephone, and not a “written instrument” is the means by which the assignment is made and by reason of which the work is performed” </w:t>
      </w:r>
      <w:r w:rsidR="00146012" w:rsidRPr="00B11C5E">
        <w:rPr>
          <w:rFonts w:ascii="Times New Roman" w:hAnsi="Times New Roman" w:cs="Times New Roman"/>
          <w:sz w:val="24"/>
        </w:rPr>
        <w:t xml:space="preserve">2 E. Gabriel Perle &amp; John Taylor Williams, </w:t>
      </w:r>
      <w:r w:rsidR="00146012" w:rsidRPr="00B11C5E">
        <w:rPr>
          <w:rStyle w:val="Emphasis"/>
          <w:rFonts w:ascii="Times New Roman" w:hAnsi="Times New Roman" w:cs="Times New Roman"/>
          <w:sz w:val="24"/>
        </w:rPr>
        <w:t>The Publishing Law Handbook,</w:t>
      </w:r>
      <w:r w:rsidR="00146012" w:rsidRPr="00B11C5E">
        <w:rPr>
          <w:rFonts w:ascii="Times New Roman" w:hAnsi="Times New Roman" w:cs="Times New Roman"/>
          <w:sz w:val="24"/>
        </w:rPr>
        <w:t xml:space="preserve"> § 15.03(g), at 15-23 (2d ed. 1992).</w:t>
      </w:r>
      <w:r>
        <w:rPr>
          <w:rFonts w:ascii="Times New Roman" w:hAnsi="Times New Roman" w:cs="Times New Roman"/>
          <w:sz w:val="24"/>
          <w:szCs w:val="24"/>
        </w:rPr>
        <w:t xml:space="preserve"> Adopting Lime and TinyTV’s interpretation of § 201 would set a bad precedent because ora</w:t>
      </w:r>
      <w:r w:rsidR="002E7F2C">
        <w:rPr>
          <w:rFonts w:ascii="Times New Roman" w:hAnsi="Times New Roman" w:cs="Times New Roman"/>
          <w:sz w:val="24"/>
          <w:szCs w:val="24"/>
        </w:rPr>
        <w:t>l agreements would be ineffective</w:t>
      </w:r>
      <w:r>
        <w:rPr>
          <w:rFonts w:ascii="Times New Roman" w:hAnsi="Times New Roman" w:cs="Times New Roman"/>
          <w:sz w:val="24"/>
          <w:szCs w:val="24"/>
        </w:rPr>
        <w:t>; employers will not want to hire screenwriters if they can renege on their oral agreements later.</w:t>
      </w:r>
    </w:p>
    <w:p w14:paraId="7E38CFCE" w14:textId="77777777" w:rsidR="00597ECB" w:rsidRDefault="00597ECB" w:rsidP="00597ECB">
      <w:pPr>
        <w:spacing w:after="0" w:line="480" w:lineRule="auto"/>
        <w:rPr>
          <w:rFonts w:ascii="Times New Roman" w:hAnsi="Times New Roman" w:cs="Times New Roman"/>
          <w:sz w:val="24"/>
        </w:rPr>
      </w:pPr>
      <w:r>
        <w:rPr>
          <w:rFonts w:ascii="Times New Roman" w:hAnsi="Times New Roman" w:cs="Times New Roman"/>
          <w:sz w:val="24"/>
          <w:szCs w:val="24"/>
        </w:rPr>
        <w:lastRenderedPageBreak/>
        <w:tab/>
        <w:t xml:space="preserve">Lime and TinyTV may argue that the writing requirement of § 101(2) is meant “to make the ownership of property rights in intellectual property clear and definite, so that such property will be readily marketable,” </w:t>
      </w:r>
      <w:r>
        <w:rPr>
          <w:rFonts w:ascii="Times New Roman" w:hAnsi="Times New Roman" w:cs="Times New Roman"/>
          <w:i/>
          <w:sz w:val="24"/>
          <w:szCs w:val="24"/>
        </w:rPr>
        <w:t xml:space="preserve">Schiller &amp; Schmidt, Inc. v. Nordisco Corp. </w:t>
      </w:r>
      <w:r>
        <w:rPr>
          <w:rFonts w:ascii="Times New Roman" w:hAnsi="Times New Roman" w:cs="Times New Roman"/>
          <w:sz w:val="24"/>
          <w:szCs w:val="24"/>
        </w:rPr>
        <w:t xml:space="preserve">969 U.S. 410, 412 (1992). First, it is worthwhile to note that this excerpt is dictum, as </w:t>
      </w:r>
      <w:r>
        <w:rPr>
          <w:rFonts w:ascii="Times New Roman" w:hAnsi="Times New Roman" w:cs="Times New Roman"/>
          <w:i/>
          <w:sz w:val="24"/>
          <w:szCs w:val="24"/>
        </w:rPr>
        <w:t>Schiller</w:t>
      </w:r>
      <w:r>
        <w:rPr>
          <w:rFonts w:ascii="Times New Roman" w:hAnsi="Times New Roman" w:cs="Times New Roman"/>
          <w:sz w:val="24"/>
          <w:szCs w:val="24"/>
        </w:rPr>
        <w:t xml:space="preserve"> was not decided on this issue. In addition, the facts of </w:t>
      </w:r>
      <w:r>
        <w:rPr>
          <w:rFonts w:ascii="Times New Roman" w:hAnsi="Times New Roman" w:cs="Times New Roman"/>
          <w:i/>
          <w:sz w:val="24"/>
          <w:szCs w:val="24"/>
        </w:rPr>
        <w:t>Schiller</w:t>
      </w:r>
      <w:r>
        <w:rPr>
          <w:rFonts w:ascii="Times New Roman" w:hAnsi="Times New Roman" w:cs="Times New Roman"/>
          <w:sz w:val="24"/>
          <w:szCs w:val="24"/>
        </w:rPr>
        <w:t xml:space="preserve"> differ from the case at hand in an important way: There was no prior oral agreement in that case. By referencing </w:t>
      </w:r>
      <w:r w:rsidRPr="00FC5230">
        <w:rPr>
          <w:rFonts w:ascii="Times New Roman" w:hAnsi="Times New Roman" w:cs="Times New Roman"/>
          <w:i/>
          <w:sz w:val="24"/>
          <w:szCs w:val="24"/>
        </w:rPr>
        <w:t>Schiller</w:t>
      </w:r>
      <w:r>
        <w:rPr>
          <w:rFonts w:ascii="Times New Roman" w:hAnsi="Times New Roman" w:cs="Times New Roman"/>
          <w:i/>
          <w:sz w:val="24"/>
          <w:szCs w:val="24"/>
        </w:rPr>
        <w:t xml:space="preserve">, </w:t>
      </w:r>
      <w:r>
        <w:rPr>
          <w:rFonts w:ascii="Times New Roman" w:hAnsi="Times New Roman" w:cs="Times New Roman"/>
          <w:sz w:val="24"/>
          <w:szCs w:val="24"/>
        </w:rPr>
        <w:t xml:space="preserve">while stating that </w:t>
      </w:r>
      <w:r>
        <w:rPr>
          <w:rFonts w:ascii="Times New Roman" w:hAnsi="Times New Roman" w:cs="Times New Roman"/>
          <w:sz w:val="24"/>
        </w:rPr>
        <w:t>“(a) writing executed after the work’s creation that confirms a prior agreement may suffice,”</w:t>
      </w:r>
      <w:r>
        <w:rPr>
          <w:rFonts w:ascii="Times New Roman" w:hAnsi="Times New Roman" w:cs="Times New Roman"/>
          <w:sz w:val="24"/>
          <w:szCs w:val="24"/>
        </w:rPr>
        <w:t xml:space="preserve"> the United States District Court of Massachusetts found that the absence of a prior oral agreement in </w:t>
      </w:r>
      <w:r>
        <w:rPr>
          <w:rFonts w:ascii="Times New Roman" w:hAnsi="Times New Roman" w:cs="Times New Roman"/>
          <w:i/>
          <w:sz w:val="24"/>
          <w:szCs w:val="24"/>
        </w:rPr>
        <w:t xml:space="preserve">Schiller </w:t>
      </w:r>
      <w:r>
        <w:rPr>
          <w:rFonts w:ascii="Times New Roman" w:hAnsi="Times New Roman" w:cs="Times New Roman"/>
          <w:sz w:val="24"/>
          <w:szCs w:val="24"/>
        </w:rPr>
        <w:t xml:space="preserve">was determinative to the holding. </w:t>
      </w:r>
      <w:r>
        <w:rPr>
          <w:rFonts w:ascii="Times New Roman" w:hAnsi="Times New Roman" w:cs="Times New Roman"/>
          <w:i/>
          <w:sz w:val="24"/>
          <w:szCs w:val="24"/>
        </w:rPr>
        <w:t>Homeowner Options for Massachusetts Elders, Inc. v. Brookline Bancorp, Inc.</w:t>
      </w:r>
      <w:r>
        <w:rPr>
          <w:rFonts w:ascii="Times New Roman" w:hAnsi="Times New Roman" w:cs="Times New Roman"/>
          <w:sz w:val="24"/>
          <w:szCs w:val="24"/>
        </w:rPr>
        <w:t xml:space="preserve"> </w:t>
      </w:r>
      <w:r>
        <w:rPr>
          <w:rFonts w:ascii="Times New Roman" w:hAnsi="Times New Roman" w:cs="Times New Roman"/>
          <w:sz w:val="24"/>
        </w:rPr>
        <w:t>754 F. Supp. 2d 201, 208 (2010).</w:t>
      </w:r>
    </w:p>
    <w:p w14:paraId="648903B0" w14:textId="77777777" w:rsidR="00597ECB" w:rsidRDefault="00597ECB" w:rsidP="00597ECB">
      <w:pPr>
        <w:spacing w:after="0" w:line="480" w:lineRule="auto"/>
        <w:rPr>
          <w:rFonts w:ascii="Times New Roman" w:hAnsi="Times New Roman" w:cs="Times New Roman"/>
          <w:sz w:val="24"/>
        </w:rPr>
      </w:pPr>
      <w:r>
        <w:rPr>
          <w:rFonts w:ascii="Times New Roman" w:hAnsi="Times New Roman" w:cs="Times New Roman"/>
          <w:sz w:val="24"/>
        </w:rPr>
        <w:tab/>
        <w:t xml:space="preserve">Lime and TinyTV may argue further that a written agreement prior to the creation of a work is necessary in order to prevent exploitation. This argument fails because (1) this is not a concern where, as in the case at hand, you have sophisticated parties that have reached an oral agreement, and (2) it may in fact be necessary to enforce prior oral agreements </w:t>
      </w:r>
      <w:r w:rsidRPr="007A32D4">
        <w:rPr>
          <w:rFonts w:ascii="Times New Roman" w:hAnsi="Times New Roman" w:cs="Times New Roman"/>
          <w:i/>
          <w:sz w:val="24"/>
        </w:rPr>
        <w:t>in order to prevent exploitation</w:t>
      </w:r>
      <w:r>
        <w:rPr>
          <w:rFonts w:ascii="Times New Roman" w:hAnsi="Times New Roman" w:cs="Times New Roman"/>
          <w:sz w:val="24"/>
        </w:rPr>
        <w:t xml:space="preserve">. Bright line rules, such as the supposed prior writing requirement in </w:t>
      </w:r>
      <w:r>
        <w:rPr>
          <w:rFonts w:ascii="Times New Roman" w:hAnsi="Times New Roman" w:cs="Times New Roman"/>
          <w:i/>
          <w:sz w:val="24"/>
        </w:rPr>
        <w:t>Schiller</w:t>
      </w:r>
      <w:r>
        <w:rPr>
          <w:rFonts w:ascii="Times New Roman" w:hAnsi="Times New Roman" w:cs="Times New Roman"/>
          <w:sz w:val="24"/>
        </w:rPr>
        <w:t>, can offer predictability, but they are not well-suited to produce equitable outcomes; such rules are entirely inflexible to the facts of any given case or fairness concerns, and are therefore often undesirable.</w:t>
      </w:r>
    </w:p>
    <w:p w14:paraId="775F641B" w14:textId="77777777" w:rsidR="00D3512A" w:rsidRDefault="00D3512A" w:rsidP="00597ECB">
      <w:pPr>
        <w:spacing w:after="0" w:line="480" w:lineRule="auto"/>
        <w:rPr>
          <w:rFonts w:ascii="Times New Roman" w:hAnsi="Times New Roman" w:cs="Times New Roman"/>
          <w:sz w:val="24"/>
        </w:rPr>
      </w:pPr>
      <w:r>
        <w:rPr>
          <w:rFonts w:ascii="Times New Roman" w:hAnsi="Times New Roman" w:cs="Times New Roman"/>
          <w:sz w:val="24"/>
        </w:rPr>
        <w:tab/>
        <w:t xml:space="preserve">Lime and TinyTV invoke the rule of lenity as a final line of defense. They argue that in the case of ambiguity, a statute should be interpreted in a way most favorable to the defendant. This argument fails immediately upon observing that the Copyright Act of 1976 </w:t>
      </w:r>
      <w:r>
        <w:rPr>
          <w:rFonts w:ascii="Times New Roman" w:hAnsi="Times New Roman" w:cs="Times New Roman"/>
          <w:i/>
          <w:sz w:val="24"/>
        </w:rPr>
        <w:t>unambiguously</w:t>
      </w:r>
      <w:r>
        <w:rPr>
          <w:rFonts w:ascii="Times New Roman" w:hAnsi="Times New Roman" w:cs="Times New Roman"/>
          <w:sz w:val="24"/>
        </w:rPr>
        <w:t xml:space="preserve"> omits a prior writing requirement. It would be irresponsible to apply the rule of lenity in such a situation as this, where (1) the statute in unambiguous; and (2) legis</w:t>
      </w:r>
      <w:r w:rsidR="003A686A">
        <w:rPr>
          <w:rFonts w:ascii="Times New Roman" w:hAnsi="Times New Roman" w:cs="Times New Roman"/>
          <w:sz w:val="24"/>
        </w:rPr>
        <w:t xml:space="preserve">lative purpose/intent is clear. </w:t>
      </w:r>
      <w:r>
        <w:rPr>
          <w:rFonts w:ascii="Times New Roman" w:hAnsi="Times New Roman" w:cs="Times New Roman"/>
          <w:sz w:val="24"/>
        </w:rPr>
        <w:lastRenderedPageBreak/>
        <w:t xml:space="preserve">The rule of lenity in statutory construction applies </w:t>
      </w:r>
      <w:r w:rsidR="003A686A">
        <w:rPr>
          <w:rFonts w:ascii="Times New Roman" w:hAnsi="Times New Roman" w:cs="Times New Roman"/>
          <w:sz w:val="24"/>
        </w:rPr>
        <w:t>“when (the court) is uncertain about the statute’s meaning;”</w:t>
      </w:r>
      <w:r>
        <w:rPr>
          <w:rFonts w:ascii="Times New Roman" w:hAnsi="Times New Roman" w:cs="Times New Roman"/>
          <w:sz w:val="24"/>
        </w:rPr>
        <w:t xml:space="preserve"> </w:t>
      </w:r>
      <w:r w:rsidR="003A686A">
        <w:rPr>
          <w:rFonts w:ascii="Times New Roman" w:hAnsi="Times New Roman" w:cs="Times New Roman"/>
          <w:sz w:val="24"/>
        </w:rPr>
        <w:t xml:space="preserve">“they are </w:t>
      </w:r>
      <w:r>
        <w:rPr>
          <w:rFonts w:ascii="Times New Roman" w:hAnsi="Times New Roman" w:cs="Times New Roman"/>
          <w:sz w:val="24"/>
        </w:rPr>
        <w:t>not to be used in complete disregard of the purpose of the legislature</w:t>
      </w:r>
      <w:r w:rsidR="003A686A">
        <w:rPr>
          <w:rFonts w:ascii="Times New Roman" w:hAnsi="Times New Roman" w:cs="Times New Roman"/>
          <w:sz w:val="24"/>
        </w:rPr>
        <w:t>” 435 U.S. 371, 379 (1978).</w:t>
      </w:r>
    </w:p>
    <w:p w14:paraId="2190529A" w14:textId="77777777" w:rsidR="00F038A5" w:rsidRPr="00597ECB" w:rsidRDefault="00F038A5" w:rsidP="003F13A5">
      <w:pPr>
        <w:spacing w:line="480" w:lineRule="auto"/>
        <w:rPr>
          <w:rFonts w:ascii="Times New Roman" w:hAnsi="Times New Roman" w:cs="Times New Roman"/>
          <w:sz w:val="24"/>
        </w:rPr>
      </w:pPr>
      <w:r>
        <w:rPr>
          <w:rFonts w:ascii="Times New Roman" w:hAnsi="Times New Roman" w:cs="Times New Roman"/>
          <w:sz w:val="24"/>
        </w:rPr>
        <w:tab/>
        <w:t xml:space="preserve">The merits of basic fairness, freedom of contract, and well-established industry norms all favor the conclusion that there is no prior writing requirement in the Copyright Act of 1976. Lime and TinyTV’s arguments about the need for clarity, avoiding exploitation, and the rule of lenity </w:t>
      </w:r>
      <w:r w:rsidR="007B7FD3">
        <w:rPr>
          <w:rFonts w:ascii="Times New Roman" w:hAnsi="Times New Roman" w:cs="Times New Roman"/>
          <w:sz w:val="24"/>
        </w:rPr>
        <w:t xml:space="preserve">fail, and </w:t>
      </w:r>
      <w:r>
        <w:rPr>
          <w:rFonts w:ascii="Times New Roman" w:hAnsi="Times New Roman" w:cs="Times New Roman"/>
          <w:sz w:val="24"/>
        </w:rPr>
        <w:t>only strengthen OGS’s case. Therefore, for policy reasons – as well as arguments based on the plain text of the statute, legislative history, and case law – OGS prevails in establishing the absence of a prior writing requirement in the Copyright Act.</w:t>
      </w:r>
    </w:p>
    <w:p w14:paraId="38BD9BE9" w14:textId="77777777" w:rsidR="00FF4E5E" w:rsidRDefault="00FF4E5E" w:rsidP="00FF4E5E">
      <w:pPr>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CONCLUSION</w:t>
      </w:r>
    </w:p>
    <w:p w14:paraId="5D131BCD" w14:textId="77777777" w:rsidR="00FF4E5E" w:rsidRDefault="00FF4E5E" w:rsidP="00FF4E5E">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Congress was clear in its intention that the writing requirement of 17 U.S.C. § 201 does not require a writing prior to the creation of a work when a prior oral agreement exists. </w:t>
      </w:r>
      <w:r w:rsidR="00A7260F">
        <w:rPr>
          <w:rFonts w:ascii="Times New Roman" w:hAnsi="Times New Roman" w:cs="Times New Roman"/>
          <w:sz w:val="24"/>
          <w:szCs w:val="24"/>
        </w:rPr>
        <w:t xml:space="preserve">It is undisputed that </w:t>
      </w:r>
      <w:r>
        <w:rPr>
          <w:rFonts w:ascii="Times New Roman" w:hAnsi="Times New Roman" w:cs="Times New Roman"/>
          <w:sz w:val="24"/>
          <w:szCs w:val="24"/>
        </w:rPr>
        <w:t>Lime orally agreed that the screenplay “Anticipatory Repudiation” would be a work made for hire, and that a writing was also signed by both parties to this effect</w:t>
      </w:r>
      <w:r w:rsidR="00704D31">
        <w:rPr>
          <w:rFonts w:ascii="Times New Roman" w:hAnsi="Times New Roman" w:cs="Times New Roman"/>
          <w:sz w:val="24"/>
          <w:szCs w:val="24"/>
        </w:rPr>
        <w:t>.</w:t>
      </w:r>
      <w:r>
        <w:rPr>
          <w:rFonts w:ascii="Times New Roman" w:hAnsi="Times New Roman" w:cs="Times New Roman"/>
          <w:sz w:val="24"/>
          <w:szCs w:val="24"/>
        </w:rPr>
        <w:t xml:space="preserve"> (Compl. ¶¶ 18, 24-25.)</w:t>
      </w:r>
      <w:r w:rsidR="00704D31">
        <w:rPr>
          <w:rFonts w:ascii="Times New Roman" w:hAnsi="Times New Roman" w:cs="Times New Roman"/>
          <w:sz w:val="24"/>
          <w:szCs w:val="24"/>
        </w:rPr>
        <w:t xml:space="preserve"> </w:t>
      </w:r>
      <w:r w:rsidR="00A7260F">
        <w:rPr>
          <w:rFonts w:ascii="Times New Roman" w:hAnsi="Times New Roman" w:cs="Times New Roman"/>
          <w:sz w:val="24"/>
          <w:szCs w:val="24"/>
        </w:rPr>
        <w:t>OGS</w:t>
      </w:r>
      <w:r w:rsidR="00A42D7C">
        <w:rPr>
          <w:rFonts w:ascii="Times New Roman" w:hAnsi="Times New Roman" w:cs="Times New Roman"/>
          <w:sz w:val="24"/>
          <w:szCs w:val="24"/>
        </w:rPr>
        <w:t xml:space="preserve"> </w:t>
      </w:r>
      <w:r w:rsidR="00704D31">
        <w:rPr>
          <w:rFonts w:ascii="Times New Roman" w:hAnsi="Times New Roman" w:cs="Times New Roman"/>
          <w:sz w:val="24"/>
          <w:szCs w:val="24"/>
        </w:rPr>
        <w:t>has a claim for which relief can be granted.</w:t>
      </w:r>
    </w:p>
    <w:p w14:paraId="411E5F5D" w14:textId="77777777" w:rsidR="00704D31" w:rsidRDefault="00704D31" w:rsidP="00FF4E5E">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For these reasons, the Court should deny </w:t>
      </w:r>
      <w:r w:rsidR="00A7260F">
        <w:rPr>
          <w:rFonts w:ascii="Times New Roman" w:hAnsi="Times New Roman" w:cs="Times New Roman"/>
          <w:sz w:val="24"/>
          <w:szCs w:val="24"/>
        </w:rPr>
        <w:t>Lime and TinyTV</w:t>
      </w:r>
      <w:r>
        <w:rPr>
          <w:rFonts w:ascii="Times New Roman" w:hAnsi="Times New Roman" w:cs="Times New Roman"/>
          <w:sz w:val="24"/>
          <w:szCs w:val="24"/>
        </w:rPr>
        <w:t>’</w:t>
      </w:r>
      <w:r w:rsidR="00A7260F">
        <w:rPr>
          <w:rFonts w:ascii="Times New Roman" w:hAnsi="Times New Roman" w:cs="Times New Roman"/>
          <w:sz w:val="24"/>
          <w:szCs w:val="24"/>
        </w:rPr>
        <w:t>s</w:t>
      </w:r>
      <w:r>
        <w:rPr>
          <w:rFonts w:ascii="Times New Roman" w:hAnsi="Times New Roman" w:cs="Times New Roman"/>
          <w:sz w:val="24"/>
          <w:szCs w:val="24"/>
        </w:rPr>
        <w:t xml:space="preserve"> motion to dismiss.</w:t>
      </w:r>
    </w:p>
    <w:p w14:paraId="453D4F19" w14:textId="77777777" w:rsidR="00704D31" w:rsidRDefault="00704D31" w:rsidP="00704D31">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B1C12">
        <w:rPr>
          <w:rFonts w:ascii="Times New Roman" w:eastAsia="Times New Roman" w:hAnsi="Times New Roman" w:cs="Times New Roman"/>
          <w:sz w:val="24"/>
          <w:szCs w:val="24"/>
        </w:rPr>
        <w:t>&lt;redacted&gt;&lt;/redacted&gt;</w:t>
      </w:r>
      <w:r>
        <w:rPr>
          <w:rFonts w:ascii="Times New Roman" w:hAnsi="Times New Roman" w:cs="Times New Roman"/>
          <w:sz w:val="24"/>
          <w:szCs w:val="24"/>
        </w:rPr>
        <w:t>&amp; ASSOCIATES, LLP</w:t>
      </w:r>
    </w:p>
    <w:p w14:paraId="5C104387" w14:textId="77777777" w:rsidR="00704D31" w:rsidRDefault="00704D31" w:rsidP="00704D31">
      <w:pPr>
        <w:spacing w:after="0" w:line="240" w:lineRule="auto"/>
        <w:rPr>
          <w:rFonts w:ascii="Times New Roman" w:hAnsi="Times New Roman" w:cs="Times New Roman"/>
          <w:sz w:val="24"/>
          <w:szCs w:val="24"/>
        </w:rPr>
      </w:pPr>
    </w:p>
    <w:p w14:paraId="76FB7CE3" w14:textId="77777777" w:rsidR="00704D31" w:rsidRDefault="00704D31" w:rsidP="00704D31">
      <w:pPr>
        <w:spacing w:after="0" w:line="240" w:lineRule="auto"/>
        <w:rPr>
          <w:rFonts w:ascii="Times New Roman" w:hAnsi="Times New Roman" w:cs="Times New Roman"/>
          <w:sz w:val="24"/>
          <w:szCs w:val="24"/>
        </w:rPr>
      </w:pPr>
      <w:r>
        <w:rPr>
          <w:rFonts w:ascii="Times New Roman" w:hAnsi="Times New Roman" w:cs="Times New Roman"/>
          <w:sz w:val="24"/>
          <w:szCs w:val="24"/>
        </w:rPr>
        <w:t>Dated: February 28, 2012 _______________________</w:t>
      </w:r>
    </w:p>
    <w:p w14:paraId="28F3116B" w14:textId="77777777" w:rsidR="00B41812" w:rsidRPr="00E550CF" w:rsidRDefault="00704D31" w:rsidP="00AB1C12">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AB1C12">
        <w:rPr>
          <w:rFonts w:ascii="Times New Roman" w:eastAsia="Times New Roman" w:hAnsi="Times New Roman" w:cs="Times New Roman"/>
          <w:sz w:val="24"/>
          <w:szCs w:val="24"/>
        </w:rPr>
        <w:t>&lt;redacted&gt;&lt;/redacted&gt;</w:t>
      </w:r>
      <w:bookmarkStart w:id="0" w:name="_GoBack"/>
      <w:bookmarkEnd w:id="0"/>
    </w:p>
    <w:sectPr w:rsidR="00B41812" w:rsidRPr="00E550CF" w:rsidSect="000033A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796BBF" w14:textId="77777777" w:rsidR="008C62E3" w:rsidRDefault="008C62E3" w:rsidP="00837916">
      <w:pPr>
        <w:spacing w:after="0" w:line="240" w:lineRule="auto"/>
      </w:pPr>
      <w:r>
        <w:separator/>
      </w:r>
    </w:p>
  </w:endnote>
  <w:endnote w:type="continuationSeparator" w:id="0">
    <w:p w14:paraId="5A36D1D1" w14:textId="77777777" w:rsidR="008C62E3" w:rsidRDefault="008C62E3" w:rsidP="00837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8771622"/>
      <w:docPartObj>
        <w:docPartGallery w:val="Page Numbers (Bottom of Page)"/>
        <w:docPartUnique/>
      </w:docPartObj>
    </w:sdtPr>
    <w:sdtEndPr>
      <w:rPr>
        <w:noProof/>
      </w:rPr>
    </w:sdtEndPr>
    <w:sdtContent>
      <w:p w14:paraId="448F433F" w14:textId="77777777" w:rsidR="00475F07" w:rsidRDefault="00475F07">
        <w:pPr>
          <w:pStyle w:val="Footer"/>
          <w:jc w:val="right"/>
        </w:pPr>
        <w:r>
          <w:fldChar w:fldCharType="begin"/>
        </w:r>
        <w:r>
          <w:instrText xml:space="preserve"> PAGE   \* MERGEFORMAT </w:instrText>
        </w:r>
        <w:r>
          <w:fldChar w:fldCharType="separate"/>
        </w:r>
        <w:r w:rsidR="00AB1C12">
          <w:rPr>
            <w:noProof/>
          </w:rPr>
          <w:t>4</w:t>
        </w:r>
        <w:r>
          <w:rPr>
            <w:noProof/>
          </w:rPr>
          <w:fldChar w:fldCharType="end"/>
        </w:r>
      </w:p>
    </w:sdtContent>
  </w:sdt>
  <w:p w14:paraId="47139091" w14:textId="77777777" w:rsidR="00475F07" w:rsidRDefault="00475F0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00094" w14:textId="77777777" w:rsidR="008C62E3" w:rsidRDefault="008C62E3" w:rsidP="00837916">
      <w:pPr>
        <w:spacing w:after="0" w:line="240" w:lineRule="auto"/>
      </w:pPr>
      <w:r>
        <w:separator/>
      </w:r>
    </w:p>
  </w:footnote>
  <w:footnote w:type="continuationSeparator" w:id="0">
    <w:p w14:paraId="5824B2DB" w14:textId="77777777" w:rsidR="008C62E3" w:rsidRDefault="008C62E3" w:rsidP="0083791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EE2B9" w14:textId="77777777" w:rsidR="00E550CF" w:rsidRPr="00837916" w:rsidRDefault="00E550CF" w:rsidP="00C93D67">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B8240D"/>
    <w:multiLevelType w:val="hybridMultilevel"/>
    <w:tmpl w:val="728CD094"/>
    <w:lvl w:ilvl="0" w:tplc="43F2F426">
      <w:start w:val="1"/>
      <w:numFmt w:val="upperLetter"/>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s>
  <w:rsids>
    <w:rsidRoot w:val="00837916"/>
    <w:rsid w:val="000033A4"/>
    <w:rsid w:val="000118F8"/>
    <w:rsid w:val="0001775F"/>
    <w:rsid w:val="00076E6F"/>
    <w:rsid w:val="000D0567"/>
    <w:rsid w:val="0010020F"/>
    <w:rsid w:val="001026FB"/>
    <w:rsid w:val="0012258F"/>
    <w:rsid w:val="00130F0D"/>
    <w:rsid w:val="00146012"/>
    <w:rsid w:val="001E25DE"/>
    <w:rsid w:val="002211E1"/>
    <w:rsid w:val="002E2FB1"/>
    <w:rsid w:val="002E7F2C"/>
    <w:rsid w:val="00353F35"/>
    <w:rsid w:val="003574C6"/>
    <w:rsid w:val="00361F4D"/>
    <w:rsid w:val="00364A19"/>
    <w:rsid w:val="003A686A"/>
    <w:rsid w:val="003F13A5"/>
    <w:rsid w:val="00466569"/>
    <w:rsid w:val="004700D4"/>
    <w:rsid w:val="00475F07"/>
    <w:rsid w:val="004A2CFA"/>
    <w:rsid w:val="004B44B9"/>
    <w:rsid w:val="004D330B"/>
    <w:rsid w:val="004F76B0"/>
    <w:rsid w:val="00502ED5"/>
    <w:rsid w:val="005357C0"/>
    <w:rsid w:val="005415B8"/>
    <w:rsid w:val="00570976"/>
    <w:rsid w:val="00571F53"/>
    <w:rsid w:val="00597ECB"/>
    <w:rsid w:val="005E51F2"/>
    <w:rsid w:val="00626365"/>
    <w:rsid w:val="006C7957"/>
    <w:rsid w:val="00704D31"/>
    <w:rsid w:val="007220CF"/>
    <w:rsid w:val="0075299F"/>
    <w:rsid w:val="007761D8"/>
    <w:rsid w:val="007939BD"/>
    <w:rsid w:val="00793A83"/>
    <w:rsid w:val="007B0A2A"/>
    <w:rsid w:val="007B7FD3"/>
    <w:rsid w:val="007C613E"/>
    <w:rsid w:val="007F0602"/>
    <w:rsid w:val="00802F1C"/>
    <w:rsid w:val="008141D8"/>
    <w:rsid w:val="00832977"/>
    <w:rsid w:val="00837916"/>
    <w:rsid w:val="0088530B"/>
    <w:rsid w:val="008C62E3"/>
    <w:rsid w:val="008C75FC"/>
    <w:rsid w:val="009005FE"/>
    <w:rsid w:val="00901A77"/>
    <w:rsid w:val="00904B89"/>
    <w:rsid w:val="00967FED"/>
    <w:rsid w:val="00990D52"/>
    <w:rsid w:val="009C6492"/>
    <w:rsid w:val="009D54BE"/>
    <w:rsid w:val="00A05D55"/>
    <w:rsid w:val="00A123FC"/>
    <w:rsid w:val="00A13759"/>
    <w:rsid w:val="00A20EAF"/>
    <w:rsid w:val="00A271F4"/>
    <w:rsid w:val="00A42D7C"/>
    <w:rsid w:val="00A62761"/>
    <w:rsid w:val="00A7260F"/>
    <w:rsid w:val="00A93230"/>
    <w:rsid w:val="00AB1C12"/>
    <w:rsid w:val="00B11C5E"/>
    <w:rsid w:val="00B41812"/>
    <w:rsid w:val="00B62EE6"/>
    <w:rsid w:val="00B82015"/>
    <w:rsid w:val="00B93F41"/>
    <w:rsid w:val="00BA14DD"/>
    <w:rsid w:val="00BA5565"/>
    <w:rsid w:val="00BB68F9"/>
    <w:rsid w:val="00BB6B71"/>
    <w:rsid w:val="00C4610B"/>
    <w:rsid w:val="00C512CD"/>
    <w:rsid w:val="00C52337"/>
    <w:rsid w:val="00C61BDF"/>
    <w:rsid w:val="00C93D67"/>
    <w:rsid w:val="00CA5D12"/>
    <w:rsid w:val="00CD3C80"/>
    <w:rsid w:val="00CD5414"/>
    <w:rsid w:val="00D05E6C"/>
    <w:rsid w:val="00D3512A"/>
    <w:rsid w:val="00D84787"/>
    <w:rsid w:val="00DD4B51"/>
    <w:rsid w:val="00E301ED"/>
    <w:rsid w:val="00E540BE"/>
    <w:rsid w:val="00E550CF"/>
    <w:rsid w:val="00E63EE6"/>
    <w:rsid w:val="00EC2BD2"/>
    <w:rsid w:val="00F038A5"/>
    <w:rsid w:val="00F04313"/>
    <w:rsid w:val="00F14677"/>
    <w:rsid w:val="00F1748D"/>
    <w:rsid w:val="00F24D2E"/>
    <w:rsid w:val="00F90CC8"/>
    <w:rsid w:val="00FA1ADE"/>
    <w:rsid w:val="00FA2C62"/>
    <w:rsid w:val="00FA345A"/>
    <w:rsid w:val="00FB1752"/>
    <w:rsid w:val="00FF4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3CC8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79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916"/>
  </w:style>
  <w:style w:type="paragraph" w:styleId="Footer">
    <w:name w:val="footer"/>
    <w:basedOn w:val="Normal"/>
    <w:link w:val="FooterChar"/>
    <w:uiPriority w:val="99"/>
    <w:unhideWhenUsed/>
    <w:rsid w:val="008379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916"/>
  </w:style>
  <w:style w:type="paragraph" w:styleId="ListParagraph">
    <w:name w:val="List Paragraph"/>
    <w:basedOn w:val="Normal"/>
    <w:uiPriority w:val="34"/>
    <w:qFormat/>
    <w:rsid w:val="00C93D67"/>
    <w:pPr>
      <w:ind w:left="720"/>
      <w:contextualSpacing/>
    </w:pPr>
  </w:style>
  <w:style w:type="character" w:customStyle="1" w:styleId="cosearchterm">
    <w:name w:val="co_searchterm"/>
    <w:basedOn w:val="DefaultParagraphFont"/>
    <w:rsid w:val="00C93D67"/>
  </w:style>
  <w:style w:type="character" w:styleId="CommentReference">
    <w:name w:val="annotation reference"/>
    <w:basedOn w:val="DefaultParagraphFont"/>
    <w:uiPriority w:val="99"/>
    <w:semiHidden/>
    <w:unhideWhenUsed/>
    <w:rsid w:val="00967FED"/>
    <w:rPr>
      <w:sz w:val="16"/>
      <w:szCs w:val="16"/>
    </w:rPr>
  </w:style>
  <w:style w:type="paragraph" w:styleId="CommentText">
    <w:name w:val="annotation text"/>
    <w:basedOn w:val="Normal"/>
    <w:link w:val="CommentTextChar"/>
    <w:uiPriority w:val="99"/>
    <w:semiHidden/>
    <w:unhideWhenUsed/>
    <w:rsid w:val="00967FED"/>
    <w:pPr>
      <w:spacing w:line="240" w:lineRule="auto"/>
    </w:pPr>
    <w:rPr>
      <w:sz w:val="20"/>
      <w:szCs w:val="20"/>
    </w:rPr>
  </w:style>
  <w:style w:type="character" w:customStyle="1" w:styleId="CommentTextChar">
    <w:name w:val="Comment Text Char"/>
    <w:basedOn w:val="DefaultParagraphFont"/>
    <w:link w:val="CommentText"/>
    <w:uiPriority w:val="99"/>
    <w:semiHidden/>
    <w:rsid w:val="00967FED"/>
    <w:rPr>
      <w:sz w:val="20"/>
      <w:szCs w:val="20"/>
    </w:rPr>
  </w:style>
  <w:style w:type="paragraph" w:styleId="CommentSubject">
    <w:name w:val="annotation subject"/>
    <w:basedOn w:val="CommentText"/>
    <w:next w:val="CommentText"/>
    <w:link w:val="CommentSubjectChar"/>
    <w:uiPriority w:val="99"/>
    <w:semiHidden/>
    <w:unhideWhenUsed/>
    <w:rsid w:val="00967FED"/>
    <w:rPr>
      <w:b/>
      <w:bCs/>
    </w:rPr>
  </w:style>
  <w:style w:type="character" w:customStyle="1" w:styleId="CommentSubjectChar">
    <w:name w:val="Comment Subject Char"/>
    <w:basedOn w:val="CommentTextChar"/>
    <w:link w:val="CommentSubject"/>
    <w:uiPriority w:val="99"/>
    <w:semiHidden/>
    <w:rsid w:val="00967FED"/>
    <w:rPr>
      <w:b/>
      <w:bCs/>
      <w:sz w:val="20"/>
      <w:szCs w:val="20"/>
    </w:rPr>
  </w:style>
  <w:style w:type="paragraph" w:styleId="BalloonText">
    <w:name w:val="Balloon Text"/>
    <w:basedOn w:val="Normal"/>
    <w:link w:val="BalloonTextChar"/>
    <w:uiPriority w:val="99"/>
    <w:semiHidden/>
    <w:unhideWhenUsed/>
    <w:rsid w:val="00967F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FED"/>
    <w:rPr>
      <w:rFonts w:ascii="Tahoma" w:hAnsi="Tahoma" w:cs="Tahoma"/>
      <w:sz w:val="16"/>
      <w:szCs w:val="16"/>
    </w:rPr>
  </w:style>
  <w:style w:type="character" w:styleId="Emphasis">
    <w:name w:val="Emphasis"/>
    <w:basedOn w:val="DefaultParagraphFont"/>
    <w:uiPriority w:val="20"/>
    <w:qFormat/>
    <w:rsid w:val="00B11C5E"/>
    <w:rPr>
      <w:i/>
      <w:iCs/>
    </w:rPr>
  </w:style>
  <w:style w:type="character" w:styleId="Hyperlink">
    <w:name w:val="Hyperlink"/>
    <w:basedOn w:val="DefaultParagraphFont"/>
    <w:uiPriority w:val="99"/>
    <w:semiHidden/>
    <w:unhideWhenUsed/>
    <w:rsid w:val="00F14677"/>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79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916"/>
  </w:style>
  <w:style w:type="paragraph" w:styleId="Footer">
    <w:name w:val="footer"/>
    <w:basedOn w:val="Normal"/>
    <w:link w:val="FooterChar"/>
    <w:uiPriority w:val="99"/>
    <w:unhideWhenUsed/>
    <w:rsid w:val="008379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916"/>
  </w:style>
  <w:style w:type="paragraph" w:styleId="ListParagraph">
    <w:name w:val="List Paragraph"/>
    <w:basedOn w:val="Normal"/>
    <w:uiPriority w:val="34"/>
    <w:qFormat/>
    <w:rsid w:val="00C93D67"/>
    <w:pPr>
      <w:ind w:left="720"/>
      <w:contextualSpacing/>
    </w:pPr>
  </w:style>
  <w:style w:type="character" w:customStyle="1" w:styleId="cosearchterm">
    <w:name w:val="co_searchterm"/>
    <w:basedOn w:val="DefaultParagraphFont"/>
    <w:rsid w:val="00C93D67"/>
  </w:style>
  <w:style w:type="character" w:styleId="CommentReference">
    <w:name w:val="annotation reference"/>
    <w:basedOn w:val="DefaultParagraphFont"/>
    <w:uiPriority w:val="99"/>
    <w:semiHidden/>
    <w:unhideWhenUsed/>
    <w:rsid w:val="00967FED"/>
    <w:rPr>
      <w:sz w:val="16"/>
      <w:szCs w:val="16"/>
    </w:rPr>
  </w:style>
  <w:style w:type="paragraph" w:styleId="CommentText">
    <w:name w:val="annotation text"/>
    <w:basedOn w:val="Normal"/>
    <w:link w:val="CommentTextChar"/>
    <w:uiPriority w:val="99"/>
    <w:semiHidden/>
    <w:unhideWhenUsed/>
    <w:rsid w:val="00967FED"/>
    <w:pPr>
      <w:spacing w:line="240" w:lineRule="auto"/>
    </w:pPr>
    <w:rPr>
      <w:sz w:val="20"/>
      <w:szCs w:val="20"/>
    </w:rPr>
  </w:style>
  <w:style w:type="character" w:customStyle="1" w:styleId="CommentTextChar">
    <w:name w:val="Comment Text Char"/>
    <w:basedOn w:val="DefaultParagraphFont"/>
    <w:link w:val="CommentText"/>
    <w:uiPriority w:val="99"/>
    <w:semiHidden/>
    <w:rsid w:val="00967FED"/>
    <w:rPr>
      <w:sz w:val="20"/>
      <w:szCs w:val="20"/>
    </w:rPr>
  </w:style>
  <w:style w:type="paragraph" w:styleId="CommentSubject">
    <w:name w:val="annotation subject"/>
    <w:basedOn w:val="CommentText"/>
    <w:next w:val="CommentText"/>
    <w:link w:val="CommentSubjectChar"/>
    <w:uiPriority w:val="99"/>
    <w:semiHidden/>
    <w:unhideWhenUsed/>
    <w:rsid w:val="00967FED"/>
    <w:rPr>
      <w:b/>
      <w:bCs/>
    </w:rPr>
  </w:style>
  <w:style w:type="character" w:customStyle="1" w:styleId="CommentSubjectChar">
    <w:name w:val="Comment Subject Char"/>
    <w:basedOn w:val="CommentTextChar"/>
    <w:link w:val="CommentSubject"/>
    <w:uiPriority w:val="99"/>
    <w:semiHidden/>
    <w:rsid w:val="00967FED"/>
    <w:rPr>
      <w:b/>
      <w:bCs/>
      <w:sz w:val="20"/>
      <w:szCs w:val="20"/>
    </w:rPr>
  </w:style>
  <w:style w:type="paragraph" w:styleId="BalloonText">
    <w:name w:val="Balloon Text"/>
    <w:basedOn w:val="Normal"/>
    <w:link w:val="BalloonTextChar"/>
    <w:uiPriority w:val="99"/>
    <w:semiHidden/>
    <w:unhideWhenUsed/>
    <w:rsid w:val="00967F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7FED"/>
    <w:rPr>
      <w:rFonts w:ascii="Tahoma" w:hAnsi="Tahoma" w:cs="Tahoma"/>
      <w:sz w:val="16"/>
      <w:szCs w:val="16"/>
    </w:rPr>
  </w:style>
  <w:style w:type="character" w:styleId="Emphasis">
    <w:name w:val="Emphasis"/>
    <w:basedOn w:val="DefaultParagraphFont"/>
    <w:uiPriority w:val="20"/>
    <w:qFormat/>
    <w:rsid w:val="00B11C5E"/>
    <w:rPr>
      <w:i/>
      <w:iCs/>
    </w:rPr>
  </w:style>
  <w:style w:type="character" w:styleId="Hyperlink">
    <w:name w:val="Hyperlink"/>
    <w:basedOn w:val="DefaultParagraphFont"/>
    <w:uiPriority w:val="99"/>
    <w:semiHidden/>
    <w:unhideWhenUsed/>
    <w:rsid w:val="00F146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512313">
      <w:bodyDiv w:val="1"/>
      <w:marLeft w:val="0"/>
      <w:marRight w:val="0"/>
      <w:marTop w:val="0"/>
      <w:marBottom w:val="0"/>
      <w:divBdr>
        <w:top w:val="none" w:sz="0" w:space="0" w:color="auto"/>
        <w:left w:val="none" w:sz="0" w:space="0" w:color="auto"/>
        <w:bottom w:val="none" w:sz="0" w:space="0" w:color="auto"/>
        <w:right w:val="none" w:sz="0" w:space="0" w:color="auto"/>
      </w:divBdr>
      <w:divsChild>
        <w:div w:id="2041321017">
          <w:marLeft w:val="0"/>
          <w:marRight w:val="0"/>
          <w:marTop w:val="0"/>
          <w:marBottom w:val="0"/>
          <w:divBdr>
            <w:top w:val="none" w:sz="0" w:space="0" w:color="auto"/>
            <w:left w:val="none" w:sz="0" w:space="0" w:color="auto"/>
            <w:bottom w:val="none" w:sz="0" w:space="0" w:color="auto"/>
            <w:right w:val="none" w:sz="0" w:space="0" w:color="auto"/>
          </w:divBdr>
          <w:divsChild>
            <w:div w:id="20861797">
              <w:marLeft w:val="0"/>
              <w:marRight w:val="0"/>
              <w:marTop w:val="0"/>
              <w:marBottom w:val="0"/>
              <w:divBdr>
                <w:top w:val="none" w:sz="0" w:space="0" w:color="auto"/>
                <w:left w:val="none" w:sz="0" w:space="0" w:color="auto"/>
                <w:bottom w:val="none" w:sz="0" w:space="0" w:color="auto"/>
                <w:right w:val="none" w:sz="0" w:space="0" w:color="auto"/>
              </w:divBdr>
              <w:divsChild>
                <w:div w:id="80624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340151">
      <w:bodyDiv w:val="1"/>
      <w:marLeft w:val="0"/>
      <w:marRight w:val="0"/>
      <w:marTop w:val="0"/>
      <w:marBottom w:val="0"/>
      <w:divBdr>
        <w:top w:val="none" w:sz="0" w:space="0" w:color="auto"/>
        <w:left w:val="none" w:sz="0" w:space="0" w:color="auto"/>
        <w:bottom w:val="none" w:sz="0" w:space="0" w:color="auto"/>
        <w:right w:val="none" w:sz="0" w:space="0" w:color="auto"/>
      </w:divBdr>
      <w:divsChild>
        <w:div w:id="1549148838">
          <w:marLeft w:val="0"/>
          <w:marRight w:val="0"/>
          <w:marTop w:val="0"/>
          <w:marBottom w:val="0"/>
          <w:divBdr>
            <w:top w:val="none" w:sz="0" w:space="0" w:color="auto"/>
            <w:left w:val="none" w:sz="0" w:space="0" w:color="auto"/>
            <w:bottom w:val="none" w:sz="0" w:space="0" w:color="auto"/>
            <w:right w:val="none" w:sz="0" w:space="0" w:color="auto"/>
          </w:divBdr>
          <w:divsChild>
            <w:div w:id="70028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947">
      <w:bodyDiv w:val="1"/>
      <w:marLeft w:val="0"/>
      <w:marRight w:val="0"/>
      <w:marTop w:val="0"/>
      <w:marBottom w:val="0"/>
      <w:divBdr>
        <w:top w:val="none" w:sz="0" w:space="0" w:color="auto"/>
        <w:left w:val="none" w:sz="0" w:space="0" w:color="auto"/>
        <w:bottom w:val="none" w:sz="0" w:space="0" w:color="auto"/>
        <w:right w:val="none" w:sz="0" w:space="0" w:color="auto"/>
      </w:divBdr>
      <w:divsChild>
        <w:div w:id="1320423670">
          <w:marLeft w:val="0"/>
          <w:marRight w:val="0"/>
          <w:marTop w:val="0"/>
          <w:marBottom w:val="0"/>
          <w:divBdr>
            <w:top w:val="none" w:sz="0" w:space="0" w:color="auto"/>
            <w:left w:val="none" w:sz="0" w:space="0" w:color="auto"/>
            <w:bottom w:val="none" w:sz="0" w:space="0" w:color="auto"/>
            <w:right w:val="none" w:sz="0" w:space="0" w:color="auto"/>
          </w:divBdr>
          <w:divsChild>
            <w:div w:id="1111558984">
              <w:marLeft w:val="0"/>
              <w:marRight w:val="0"/>
              <w:marTop w:val="0"/>
              <w:marBottom w:val="0"/>
              <w:divBdr>
                <w:top w:val="none" w:sz="0" w:space="0" w:color="auto"/>
                <w:left w:val="none" w:sz="0" w:space="0" w:color="auto"/>
                <w:bottom w:val="none" w:sz="0" w:space="0" w:color="auto"/>
                <w:right w:val="none" w:sz="0" w:space="0" w:color="auto"/>
              </w:divBdr>
              <w:divsChild>
                <w:div w:id="79687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24671">
      <w:bodyDiv w:val="1"/>
      <w:marLeft w:val="0"/>
      <w:marRight w:val="0"/>
      <w:marTop w:val="0"/>
      <w:marBottom w:val="0"/>
      <w:divBdr>
        <w:top w:val="none" w:sz="0" w:space="0" w:color="auto"/>
        <w:left w:val="none" w:sz="0" w:space="0" w:color="auto"/>
        <w:bottom w:val="none" w:sz="0" w:space="0" w:color="auto"/>
        <w:right w:val="none" w:sz="0" w:space="0" w:color="auto"/>
      </w:divBdr>
    </w:div>
    <w:div w:id="1525552533">
      <w:bodyDiv w:val="1"/>
      <w:marLeft w:val="0"/>
      <w:marRight w:val="0"/>
      <w:marTop w:val="0"/>
      <w:marBottom w:val="0"/>
      <w:divBdr>
        <w:top w:val="none" w:sz="0" w:space="0" w:color="auto"/>
        <w:left w:val="none" w:sz="0" w:space="0" w:color="auto"/>
        <w:bottom w:val="none" w:sz="0" w:space="0" w:color="auto"/>
        <w:right w:val="none" w:sz="0" w:space="0" w:color="auto"/>
      </w:divBdr>
      <w:divsChild>
        <w:div w:id="1228373053">
          <w:marLeft w:val="0"/>
          <w:marRight w:val="0"/>
          <w:marTop w:val="0"/>
          <w:marBottom w:val="0"/>
          <w:divBdr>
            <w:top w:val="none" w:sz="0" w:space="0" w:color="auto"/>
            <w:left w:val="none" w:sz="0" w:space="0" w:color="auto"/>
            <w:bottom w:val="none" w:sz="0" w:space="0" w:color="auto"/>
            <w:right w:val="none" w:sz="0" w:space="0" w:color="auto"/>
          </w:divBdr>
          <w:divsChild>
            <w:div w:id="1065643741">
              <w:marLeft w:val="0"/>
              <w:marRight w:val="0"/>
              <w:marTop w:val="0"/>
              <w:marBottom w:val="0"/>
              <w:divBdr>
                <w:top w:val="none" w:sz="0" w:space="0" w:color="auto"/>
                <w:left w:val="none" w:sz="0" w:space="0" w:color="auto"/>
                <w:bottom w:val="none" w:sz="0" w:space="0" w:color="auto"/>
                <w:right w:val="none" w:sz="0" w:space="0" w:color="auto"/>
              </w:divBdr>
              <w:divsChild>
                <w:div w:id="4357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4023</Words>
  <Characters>20241</Characters>
  <Application>Microsoft Macintosh Word</Application>
  <DocSecurity>0</DocSecurity>
  <Lines>297</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2012-02-08T13:48:00Z</cp:lastPrinted>
  <dcterms:created xsi:type="dcterms:W3CDTF">2012-04-11T01:56:00Z</dcterms:created>
  <dcterms:modified xsi:type="dcterms:W3CDTF">2012-06-02T12:40:00Z</dcterms:modified>
  <cp:category/>
</cp:coreProperties>
</file>